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D1FEA" w:rsidRDefault="00FD5256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1F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1FEA" w:rsidRDefault="00196737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BB1062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1FEA" w:rsidRDefault="00C54F6B" w:rsidP="001C17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AD1FEA" w:rsidRDefault="0079265B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AD1FEA" w:rsidRDefault="00A93F54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E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2A3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C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0202" w:rsidRDefault="008E0202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D5256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00D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C2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8E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9A3729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C2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C2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6318C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371" w:rsidRPr="00AD1FEA" w:rsidRDefault="0096318C" w:rsidP="0096318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AD1FEA" w:rsidRDefault="00E92371" w:rsidP="001C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D5256" w:rsidRPr="00AD1FEA" w:rsidRDefault="007A1D76" w:rsidP="001C17C1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C4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4340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D25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93F54" w:rsidRDefault="00A93F54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5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557B22" w:rsidRDefault="00557B22" w:rsidP="003178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C2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789F" w:rsidRDefault="0031789F" w:rsidP="003178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89F" w:rsidRDefault="0031789F" w:rsidP="003178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89F" w:rsidRPr="00AD1FEA" w:rsidRDefault="0031789F" w:rsidP="003178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123" w:rsidRP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1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ВЫВОДЫ</w:t>
      </w:r>
    </w:p>
    <w:p w:rsid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1FEA" w:rsidRDefault="00A93F54" w:rsidP="001C1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</w:t>
      </w:r>
      <w:r w:rsidR="00AE516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(далее - Заключение)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15D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</w:t>
      </w:r>
      <w:r w:rsidR="00F902B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15D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15D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</w:t>
      </w:r>
      <w:r w:rsidR="008800DC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онтрольно-счетной комиссии Усть-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 муниципального образования», утвержденным решением Думы УКМО от 30.08.2011 № 42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г. №64)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2C2F4D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Ручейского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D4C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4C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D4C02">
        <w:rPr>
          <w:rFonts w:ascii="Times New Roman" w:eastAsia="Calibri" w:hAnsi="Times New Roman" w:cs="Times New Roman"/>
          <w:sz w:val="28"/>
          <w:szCs w:val="28"/>
          <w:lang w:eastAsia="ru-RU"/>
        </w:rPr>
        <w:t>325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4F07" w:rsidRPr="00301B9A" w:rsidRDefault="00BE4F07" w:rsidP="002A3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 бюджета внесен Главой администрации Ручейского муниципального образования на рассмотрение Думы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в срок, установленный Положением «О бюджетном процессе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</w:t>
      </w:r>
      <w:r w:rsidR="00936FED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ым р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Ручейского сельского поселения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03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07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.20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20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89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Ручейском муниципальном образовании» 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 о бюджетном процессе). </w:t>
      </w:r>
    </w:p>
    <w:p w:rsidR="00747D4C" w:rsidRDefault="0033230F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статьи </w:t>
      </w:r>
      <w:r w:rsidR="007303A6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следует отметить, что не представлены: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>- расчеты распределения межбюджетных трансфертов.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37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в соответствии с требованиями БК РФ представлен реестр источников доходов бюджета Ручейского муниципального образования. </w:t>
      </w:r>
    </w:p>
    <w:p w:rsid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КСК УКМО отмечает, что в </w:t>
      </w:r>
      <w:r w:rsidR="007D4C02" w:rsidRPr="007D4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ходе экспертизы Проекта бюджета выявлено несоответствие перечня доходов, плановые поступления по которым предусмотрены Проектом решения (реестр источников доходов), с перечнем доходов, отраженных в Методике прогнозирования поступлений доходов</w:t>
      </w:r>
      <w:r w:rsidR="007D4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7D4C02" w:rsidRPr="007D4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 указывает на некачественное планирование отдельных доходных источников, либо на не корректно разработанную Методику прогнозирования</w:t>
      </w:r>
      <w:r w:rsidR="007D4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D4C02" w:rsidRDefault="007D4C02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02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 слабую разработку Основных направлений </w:t>
      </w:r>
      <w:r w:rsidRPr="007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7D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89F" w:rsidRDefault="0031789F" w:rsidP="00317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не содержат информации по оценке налоговых расходов, которая учитывается при формировании основных направлений бюджетной, налоговой политики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C02" w:rsidRDefault="007D4C02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D4C02">
        <w:rPr>
          <w:rFonts w:ascii="Times New Roman" w:eastAsia="Calibri" w:hAnsi="Times New Roman" w:cs="Times New Roman"/>
          <w:sz w:val="28"/>
          <w:szCs w:val="28"/>
        </w:rPr>
        <w:t xml:space="preserve">редставленная к Проекту бюджета </w:t>
      </w:r>
      <w:r w:rsidRPr="007D4C02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пояснительная записка слабо информативна как по доходам, так и по расходам</w:t>
      </w:r>
      <w:r w:rsidRPr="007D4C02">
        <w:rPr>
          <w:rFonts w:ascii="Times New Roman" w:eastAsia="Calibri" w:hAnsi="Times New Roman" w:cs="Times New Roman"/>
          <w:sz w:val="28"/>
          <w:szCs w:val="28"/>
        </w:rPr>
        <w:t>, содержит повтор цифр проекта бюджета, отраженных в приложениях и не содержит пояснений о причинах либо роста, либо снижения тех или иных показателей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F96" w:rsidRPr="008C0F96" w:rsidRDefault="008C0F96" w:rsidP="008C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0F9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отступление от требований</w:t>
      </w:r>
      <w:r w:rsidRPr="008C0F9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8C0F9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не приводится обоснование </w:t>
      </w:r>
      <w:r w:rsidRPr="008C0F9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параметров Прогноза,</w:t>
      </w:r>
      <w:r w:rsidRPr="008C0F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AD1FEA" w:rsidRPr="00AD1FEA" w:rsidRDefault="0033230F" w:rsidP="00AD1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. Состав показателей, представляемых для утверждения в проекте бюджета, </w:t>
      </w:r>
      <w:r w:rsidR="00C53A37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>соответствует требованиям ст. 184.1 БК РФ</w:t>
      </w:r>
      <w:r w:rsidR="00C53A37">
        <w:rPr>
          <w:rFonts w:ascii="Times New Roman" w:eastAsia="Calibri" w:hAnsi="Times New Roman" w:cs="Times New Roman"/>
          <w:sz w:val="28"/>
          <w:szCs w:val="28"/>
        </w:rPr>
        <w:t>.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BE01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о бюджете предусматривается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резервн</w:t>
      </w:r>
      <w:r w:rsidR="00BE0109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 администрации Ручейского муниципального образования</w:t>
      </w:r>
      <w:r w:rsidR="00BE0109">
        <w:rPr>
          <w:rFonts w:ascii="Times New Roman" w:eastAsia="Calibri" w:hAnsi="Times New Roman" w:cs="Times New Roman"/>
          <w:sz w:val="28"/>
          <w:szCs w:val="28"/>
          <w:lang w:eastAsia="ru-RU"/>
        </w:rPr>
        <w:t>, что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требованию статьи 81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33230F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C53A37" w:rsidRPr="00C53A37" w:rsidRDefault="00C53A37" w:rsidP="00C53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КСК УКМО </w:t>
      </w:r>
      <w:r w:rsidRPr="00C5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</w:t>
      </w:r>
      <w:r w:rsidR="0031789F" w:rsidRPr="0031789F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статью 13, как противоречащую бюджетному законодательству</w:t>
      </w: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F22" w:rsidRPr="00AD1FEA" w:rsidRDefault="0031789F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25F22" w:rsidRPr="00510D36">
        <w:rPr>
          <w:rFonts w:ascii="Times New Roman" w:eastAsia="Calibri" w:hAnsi="Times New Roman" w:cs="Times New Roman"/>
          <w:sz w:val="28"/>
          <w:szCs w:val="28"/>
        </w:rPr>
        <w:t>.</w:t>
      </w:r>
      <w:r w:rsidR="00D25F22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D25F22"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приказа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</w:t>
      </w:r>
      <w:r w:rsidR="00C53A37">
        <w:rPr>
          <w:rFonts w:ascii="Times New Roman" w:eastAsia="Calibri" w:hAnsi="Times New Roman" w:cs="Times New Roman"/>
          <w:sz w:val="28"/>
          <w:szCs w:val="28"/>
        </w:rPr>
        <w:t>24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>.20</w:t>
      </w:r>
      <w:r w:rsidR="00C53A37">
        <w:rPr>
          <w:rFonts w:ascii="Times New Roman" w:eastAsia="Calibri" w:hAnsi="Times New Roman" w:cs="Times New Roman"/>
          <w:sz w:val="28"/>
          <w:szCs w:val="28"/>
        </w:rPr>
        <w:t>22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 xml:space="preserve"> №8</w:t>
      </w:r>
      <w:r w:rsidR="00C53A37">
        <w:rPr>
          <w:rFonts w:ascii="Times New Roman" w:eastAsia="Calibri" w:hAnsi="Times New Roman" w:cs="Times New Roman"/>
          <w:sz w:val="28"/>
          <w:szCs w:val="28"/>
        </w:rPr>
        <w:t>2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в приложениях №5, 6</w:t>
      </w:r>
      <w:r w:rsidR="00C53A37">
        <w:rPr>
          <w:rFonts w:ascii="Times New Roman" w:eastAsia="Calibri" w:hAnsi="Times New Roman" w:cs="Times New Roman"/>
          <w:sz w:val="28"/>
          <w:szCs w:val="28"/>
        </w:rPr>
        <w:t>, 7, 8</w:t>
      </w:r>
      <w:r w:rsidR="00D25F22" w:rsidRPr="00AD1FEA">
        <w:rPr>
          <w:rFonts w:ascii="Times New Roman" w:eastAsia="Calibri" w:hAnsi="Times New Roman" w:cs="Times New Roman"/>
          <w:sz w:val="28"/>
          <w:szCs w:val="28"/>
        </w:rPr>
        <w:t xml:space="preserve"> по расходам к Проекту бюджета </w:t>
      </w:r>
      <w:r w:rsidR="00D25F22"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="00D25F22"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8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раздел, подраздел: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sz w:val="28"/>
          <w:szCs w:val="28"/>
        </w:rPr>
        <w:t>- подраздел 1001 «Пенсионное обеспечение» - указано «Социальное обеспечение и иные выплаты населению», «Социальная политика»;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sz w:val="28"/>
          <w:szCs w:val="28"/>
        </w:rPr>
        <w:t>- подраздел 0705 «Профессиональная подготовка, переподготовка и повышение квалификации» - указано «Закупки товаров, работ и услуг для обеспечения государственных (муниципальных) нужд»;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КЦСР:</w:t>
      </w:r>
      <w:r w:rsidRPr="0031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sz w:val="28"/>
          <w:szCs w:val="28"/>
        </w:rPr>
        <w:t>- по подразделу 0113 «</w:t>
      </w:r>
      <w:r w:rsidRPr="0031789F">
        <w:rPr>
          <w:rFonts w:ascii="Times New Roman" w:eastAsia="Times New Roman" w:hAnsi="Times New Roman" w:cs="Times New Roman"/>
          <w:iCs/>
          <w:sz w:val="28"/>
          <w:szCs w:val="28"/>
        </w:rPr>
        <w:t>Другие общегосударственные расходы» – в одном случае «Прочие выплаты по обязательствам государства», в другом «Иные бюджетные ассигнования», не указано наименование КЦСР 0020067000;</w:t>
      </w:r>
    </w:p>
    <w:p w:rsidR="0031789F" w:rsidRPr="0031789F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iCs/>
          <w:sz w:val="28"/>
          <w:szCs w:val="28"/>
        </w:rPr>
        <w:t>- по подразделу 0705 «Профессиональная подготовка, переподготовка и повышение квалификации» - не указано наименование КЦСР;</w:t>
      </w:r>
    </w:p>
    <w:p w:rsidR="00926A08" w:rsidRDefault="0031789F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789F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 подразделу 1001 «Пенсионное обеспечение» - не указано наименование КЦСР.  </w:t>
      </w:r>
    </w:p>
    <w:p w:rsidR="008C0F96" w:rsidRPr="0031789F" w:rsidRDefault="008C0F96" w:rsidP="0031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2C09" w:rsidRPr="00510D36" w:rsidRDefault="00BE2C09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Усть-Кутского муниципального образования делает вывод, что проект решения Думы </w:t>
      </w:r>
      <w:r w:rsidR="00FE7751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Ручейского сельского поселения 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Ручейского муниципального образования на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целом, соответствует бюджетному законодательству Российской Федерации и может быть </w:t>
      </w:r>
      <w:r w:rsidR="00670813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 к </w:t>
      </w:r>
      <w:r w:rsidR="005D5AD8" w:rsidRPr="0031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</w:t>
      </w:r>
      <w:r w:rsidR="00670813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6F7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устранения 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замечаний, указанных в настоящем </w:t>
      </w:r>
      <w:r w:rsidR="00557B22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аключении.</w:t>
      </w:r>
    </w:p>
    <w:p w:rsidR="00557B22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</w:t>
      </w:r>
      <w:r w:rsidRPr="00DA56AC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DA56AC">
        <w:rPr>
          <w:rFonts w:ascii="Times New Roman" w:hAnsi="Times New Roman"/>
          <w:b/>
          <w:sz w:val="28"/>
          <w:szCs w:val="28"/>
        </w:rPr>
        <w:t xml:space="preserve"> решения Думы Ручейского сельского поселения «О бюджете </w:t>
      </w:r>
      <w:r w:rsidRPr="00DA56AC">
        <w:rPr>
          <w:rFonts w:ascii="Times New Roman" w:hAnsi="Times New Roman"/>
          <w:b/>
          <w:sz w:val="28"/>
          <w:szCs w:val="28"/>
          <w:lang w:eastAsia="ru-RU"/>
        </w:rPr>
        <w:t xml:space="preserve">Ручейского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на 2024 </w:t>
      </w:r>
      <w:r w:rsidRPr="00DA56AC">
        <w:rPr>
          <w:rFonts w:ascii="Times New Roman" w:hAnsi="Times New Roman"/>
          <w:b/>
          <w:sz w:val="28"/>
          <w:szCs w:val="28"/>
        </w:rPr>
        <w:t>год и плановый период 202</w:t>
      </w:r>
      <w:r>
        <w:rPr>
          <w:rFonts w:ascii="Times New Roman" w:hAnsi="Times New Roman"/>
          <w:b/>
          <w:sz w:val="28"/>
          <w:szCs w:val="28"/>
        </w:rPr>
        <w:t xml:space="preserve">5 и </w:t>
      </w:r>
      <w:r w:rsidRPr="00DA56A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DA56A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52BF">
        <w:rPr>
          <w:rFonts w:ascii="Times New Roman" w:hAnsi="Times New Roman"/>
          <w:sz w:val="28"/>
          <w:szCs w:val="28"/>
        </w:rPr>
        <w:t>Заключение подготовлено в соответствии БК РФ</w:t>
      </w:r>
      <w:r>
        <w:rPr>
          <w:rStyle w:val="af"/>
          <w:rFonts w:ascii="Times New Roman" w:hAnsi="Times New Roman"/>
          <w:sz w:val="28"/>
          <w:szCs w:val="28"/>
        </w:rPr>
        <w:footnoteReference w:id="1"/>
      </w:r>
      <w:r w:rsidRPr="00AD52BF">
        <w:rPr>
          <w:rFonts w:ascii="Times New Roman" w:hAnsi="Times New Roman"/>
          <w:sz w:val="28"/>
          <w:szCs w:val="28"/>
        </w:rPr>
        <w:t xml:space="preserve">,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>Ручейского сельского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распоряжения председателя КСК УКМО</w:t>
      </w:r>
      <w:r w:rsidRPr="00AD52B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AD52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D52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D5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85-п</w:t>
      </w:r>
      <w:r w:rsidRPr="00AD52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3021E" w:rsidRPr="00AD52BF" w:rsidRDefault="00A3021E" w:rsidP="00A302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52BF">
        <w:rPr>
          <w:rFonts w:ascii="Times New Roman" w:hAnsi="Times New Roman"/>
          <w:sz w:val="28"/>
          <w:szCs w:val="28"/>
        </w:rPr>
        <w:t xml:space="preserve">Формирование основных параметров бюджета </w:t>
      </w:r>
      <w:r>
        <w:rPr>
          <w:rFonts w:ascii="Times New Roman" w:hAnsi="Times New Roman"/>
          <w:sz w:val="28"/>
          <w:szCs w:val="28"/>
        </w:rPr>
        <w:t>Ручейского муниципального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AD5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AD5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AD52BF">
        <w:rPr>
          <w:rFonts w:ascii="Times New Roman" w:hAnsi="Times New Roman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>
        <w:rPr>
          <w:rFonts w:ascii="Times New Roman" w:hAnsi="Times New Roman"/>
          <w:sz w:val="28"/>
          <w:szCs w:val="28"/>
        </w:rPr>
        <w:t>4</w:t>
      </w:r>
      <w:r w:rsidRPr="00AD52BF">
        <w:rPr>
          <w:rFonts w:ascii="Times New Roman" w:hAnsi="Times New Roman"/>
          <w:sz w:val="28"/>
          <w:szCs w:val="28"/>
        </w:rPr>
        <w:t xml:space="preserve"> года изменений. Также при подготовке </w:t>
      </w:r>
      <w:r>
        <w:rPr>
          <w:rFonts w:ascii="Times New Roman" w:hAnsi="Times New Roman"/>
          <w:sz w:val="28"/>
          <w:szCs w:val="28"/>
        </w:rPr>
        <w:t>П</w:t>
      </w:r>
      <w:r w:rsidRPr="00AD52BF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>бюджета</w:t>
      </w:r>
      <w:r w:rsidRPr="00AD52BF">
        <w:rPr>
          <w:rFonts w:ascii="Times New Roman" w:hAnsi="Times New Roman"/>
          <w:sz w:val="28"/>
          <w:szCs w:val="28"/>
        </w:rPr>
        <w:t xml:space="preserve"> учтены ожидаемые параметры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D52BF">
        <w:rPr>
          <w:rFonts w:ascii="Times New Roman" w:hAnsi="Times New Roman"/>
          <w:sz w:val="28"/>
          <w:szCs w:val="28"/>
        </w:rPr>
        <w:t xml:space="preserve"> бюджета за 202</w:t>
      </w:r>
      <w:r>
        <w:rPr>
          <w:rFonts w:ascii="Times New Roman" w:hAnsi="Times New Roman"/>
          <w:sz w:val="28"/>
          <w:szCs w:val="28"/>
        </w:rPr>
        <w:t>3</w:t>
      </w:r>
      <w:r w:rsidRPr="00AD52BF">
        <w:rPr>
          <w:rFonts w:ascii="Times New Roman" w:hAnsi="Times New Roman"/>
          <w:sz w:val="28"/>
          <w:szCs w:val="28"/>
        </w:rPr>
        <w:t xml:space="preserve"> год, основн</w:t>
      </w:r>
      <w:r>
        <w:rPr>
          <w:rFonts w:ascii="Times New Roman" w:hAnsi="Times New Roman"/>
          <w:sz w:val="28"/>
          <w:szCs w:val="28"/>
        </w:rPr>
        <w:t>ые параметры прогноза социально-</w:t>
      </w:r>
      <w:r w:rsidRPr="00AD52BF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Ручейского муниципального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AD5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AD5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AD52B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A3021E" w:rsidRPr="00E861CD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 Состав показателей, представляемых для утверждения в проекте бюджета, в основном, соответствует требованиям ст. 184.1 БК РФ.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7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132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содержание документов, представленных в Думу Ручейского сельского поселения одновременно с проектом решения о бюджете, в основном, соответствуют требованиям статьи 184.2 БК РФ. 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B132A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13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к проекту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B132A">
        <w:rPr>
          <w:rFonts w:ascii="Times New Roman" w:hAnsi="Times New Roman"/>
          <w:sz w:val="28"/>
          <w:szCs w:val="28"/>
          <w:lang w:eastAsia="ru-RU"/>
        </w:rPr>
        <w:t>етодики</w:t>
      </w:r>
      <w:r>
        <w:rPr>
          <w:rStyle w:val="af"/>
          <w:rFonts w:ascii="Times New Roman" w:hAnsi="Times New Roman"/>
          <w:sz w:val="28"/>
          <w:szCs w:val="28"/>
          <w:lang w:eastAsia="ru-RU"/>
        </w:rPr>
        <w:footnoteReference w:id="2"/>
      </w:r>
      <w:r w:rsidRPr="003B132A">
        <w:rPr>
          <w:rFonts w:ascii="Times New Roman" w:hAnsi="Times New Roman"/>
          <w:sz w:val="28"/>
          <w:szCs w:val="28"/>
          <w:lang w:eastAsia="ru-RU"/>
        </w:rPr>
        <w:t xml:space="preserve"> распределения межбюджетных трансфертов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разработаны не корректно</w:t>
      </w:r>
      <w:r w:rsidRPr="003B13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Так, например, методикой расчета иного МБТ для осуществления передаваемых КСК УКМО полномочий по осуществлению внешнего муниципального финансового контроля предусматривается, что определяются затраты на содержание специалиста Комитета по бюджету Администрации УКМО, а не на инспектора КСК УКМО, что требует уточнения. Кроме того, одна Методика не содержит наименование передаваемого полномочия.</w:t>
      </w:r>
    </w:p>
    <w:p w:rsidR="00A3021E" w:rsidRPr="00D67A57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51463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ступл</w:t>
      </w:r>
      <w:r w:rsidRPr="00851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85146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184.2. БК РФ Р</w:t>
      </w:r>
      <w:r w:rsidRPr="00726266">
        <w:rPr>
          <w:rFonts w:ascii="Times New Roman" w:eastAsia="Times New Roman" w:hAnsi="Times New Roman"/>
          <w:sz w:val="28"/>
          <w:szCs w:val="28"/>
          <w:lang w:eastAsia="ru-RU"/>
        </w:rPr>
        <w:t>асчеты распределения межбюджетных трансфертов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представлены.</w:t>
      </w:r>
    </w:p>
    <w:p w:rsidR="00A3021E" w:rsidRPr="008D04A9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B2">
        <w:rPr>
          <w:rFonts w:ascii="Times New Roman" w:hAnsi="Times New Roman"/>
          <w:sz w:val="28"/>
          <w:szCs w:val="28"/>
        </w:rPr>
        <w:t>Одновременно с Проектом бюджет</w:t>
      </w:r>
      <w:r>
        <w:rPr>
          <w:rFonts w:ascii="Times New Roman" w:hAnsi="Times New Roman"/>
          <w:sz w:val="28"/>
          <w:szCs w:val="28"/>
        </w:rPr>
        <w:t>а</w:t>
      </w:r>
      <w:r w:rsidRPr="00057DB2">
        <w:rPr>
          <w:rFonts w:ascii="Times New Roman" w:hAnsi="Times New Roman"/>
          <w:sz w:val="28"/>
          <w:szCs w:val="28"/>
        </w:rPr>
        <w:t xml:space="preserve"> в соответствии с требованиями БК РФ представлен реестр источников доходов бюджета Ручейского муниципального образования. </w:t>
      </w:r>
    </w:p>
    <w:p w:rsidR="00A3021E" w:rsidRPr="00D67A57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экспертизы Проекта бюджета выявлено несоответствие перечня доходов, плановые поступления по которым предусмотрены Проектом решения (реестр источников доходов), с перечнем доходов, отраженных в Методике прогнозирования поступлений доходов</w:t>
      </w:r>
      <w:r>
        <w:rPr>
          <w:rStyle w:val="af"/>
          <w:rFonts w:ascii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  <w:lang w:eastAsia="ru-RU"/>
        </w:rPr>
        <w:t xml:space="preserve">, что указывает на некачественное планирование отдельных доходных источников, либо на не корректно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разработанную Методику прогнозирования (например, код дохода 959 20249999100000150 иные межбюджетные трансферты).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DA56AC">
        <w:rPr>
          <w:rFonts w:ascii="Times New Roman" w:hAnsi="Times New Roman"/>
          <w:sz w:val="28"/>
          <w:szCs w:val="28"/>
        </w:rPr>
        <w:t>рогноз социально-экономического развития Ручейского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2026 </w:t>
      </w:r>
      <w:r w:rsidRPr="00DA56A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Style w:val="af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одобр</w:t>
      </w:r>
      <w:r w:rsidRPr="00E011C7">
        <w:rPr>
          <w:rFonts w:ascii="Times New Roman" w:hAnsi="Times New Roman"/>
          <w:i/>
          <w:sz w:val="28"/>
          <w:szCs w:val="28"/>
          <w:u w:val="single"/>
        </w:rPr>
        <w:t>ен</w:t>
      </w:r>
      <w:r w:rsidRPr="00DA56AC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DA56AC">
        <w:rPr>
          <w:rFonts w:ascii="Times New Roman" w:hAnsi="Times New Roman"/>
          <w:sz w:val="28"/>
          <w:szCs w:val="28"/>
        </w:rPr>
        <w:t>дминистрации Ручейского сельского поселения</w:t>
      </w:r>
      <w:r>
        <w:rPr>
          <w:rStyle w:val="af"/>
          <w:rFonts w:ascii="Times New Roman" w:hAnsi="Times New Roman"/>
          <w:sz w:val="28"/>
          <w:szCs w:val="28"/>
        </w:rPr>
        <w:footnoteReference w:id="5"/>
      </w:r>
      <w:r w:rsidRPr="003B132A">
        <w:rPr>
          <w:rFonts w:ascii="Times New Roman" w:hAnsi="Times New Roman"/>
          <w:sz w:val="28"/>
          <w:szCs w:val="28"/>
        </w:rPr>
        <w:t xml:space="preserve">. </w:t>
      </w:r>
    </w:p>
    <w:p w:rsidR="00A3021E" w:rsidRPr="003B132A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Анализ п</w:t>
      </w:r>
      <w:r w:rsidRPr="00DA56AC">
        <w:rPr>
          <w:rFonts w:ascii="Times New Roman" w:hAnsi="Times New Roman"/>
          <w:b/>
          <w:spacing w:val="-1"/>
          <w:sz w:val="28"/>
          <w:szCs w:val="28"/>
        </w:rPr>
        <w:t>араметр</w:t>
      </w:r>
      <w:r>
        <w:rPr>
          <w:rFonts w:ascii="Times New Roman" w:hAnsi="Times New Roman"/>
          <w:b/>
          <w:spacing w:val="-1"/>
          <w:sz w:val="28"/>
          <w:szCs w:val="28"/>
        </w:rPr>
        <w:t>ов</w:t>
      </w:r>
      <w:r w:rsidRPr="00DA56AC">
        <w:rPr>
          <w:rFonts w:ascii="Times New Roman" w:hAnsi="Times New Roman"/>
          <w:b/>
          <w:spacing w:val="-1"/>
          <w:sz w:val="28"/>
          <w:szCs w:val="28"/>
        </w:rPr>
        <w:t xml:space="preserve"> прогноза исходных показателей для составления проекта бюджета Ручейского муниципального образования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3021E" w:rsidRPr="00BE78B0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разработан в базовом варианте. 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pacing w:val="-1"/>
          <w:sz w:val="28"/>
          <w:szCs w:val="28"/>
        </w:rPr>
        <w:t xml:space="preserve">Выручка от реализации продукции, работ, услуг за </w:t>
      </w:r>
      <w:r w:rsidRPr="00DA56AC">
        <w:rPr>
          <w:rFonts w:ascii="Times New Roman" w:hAnsi="Times New Roman"/>
          <w:spacing w:val="-1"/>
          <w:sz w:val="28"/>
          <w:szCs w:val="28"/>
          <w:u w:val="single"/>
        </w:rPr>
        <w:t>20</w:t>
      </w:r>
      <w:r>
        <w:rPr>
          <w:rFonts w:ascii="Times New Roman" w:hAnsi="Times New Roman"/>
          <w:spacing w:val="-1"/>
          <w:sz w:val="28"/>
          <w:szCs w:val="28"/>
          <w:u w:val="single"/>
        </w:rPr>
        <w:t>22</w:t>
      </w:r>
      <w:r w:rsidRPr="00DA56AC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год состав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19,8</w:t>
      </w:r>
      <w:r w:rsidRPr="00DA56AC">
        <w:rPr>
          <w:rFonts w:ascii="Times New Roman" w:hAnsi="Times New Roman"/>
          <w:sz w:val="28"/>
          <w:szCs w:val="28"/>
        </w:rPr>
        <w:t xml:space="preserve"> млн. рублей, </w:t>
      </w:r>
      <w:r>
        <w:rPr>
          <w:rFonts w:ascii="Times New Roman" w:hAnsi="Times New Roman"/>
          <w:sz w:val="28"/>
          <w:szCs w:val="28"/>
        </w:rPr>
        <w:t>оценка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 w:rsidRPr="00D004F8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A56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17,9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</w:t>
      </w:r>
      <w:r>
        <w:rPr>
          <w:rFonts w:ascii="Times New Roman" w:hAnsi="Times New Roman"/>
          <w:sz w:val="28"/>
          <w:szCs w:val="28"/>
        </w:rPr>
        <w:t>ниже 2022 года</w:t>
      </w:r>
      <w:r w:rsidRPr="00DA56A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1,9</w:t>
      </w:r>
      <w:r w:rsidRPr="00DA56AC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9,6</w:t>
      </w:r>
      <w:r w:rsidRPr="00DA56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Пояснительная записка к ПСЭР не содержит информации о причинах ожидаемого снижения выручки</w:t>
      </w:r>
      <w:r w:rsidRPr="00DA56AC">
        <w:rPr>
          <w:rFonts w:ascii="Times New Roman" w:hAnsi="Times New Roman"/>
          <w:sz w:val="28"/>
          <w:szCs w:val="28"/>
        </w:rPr>
        <w:t>.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5C0">
        <w:rPr>
          <w:rFonts w:ascii="Times New Roman" w:hAnsi="Times New Roman"/>
          <w:sz w:val="28"/>
          <w:szCs w:val="28"/>
        </w:rPr>
        <w:t xml:space="preserve">На </w:t>
      </w:r>
      <w:r w:rsidRPr="004E65C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4E65C0">
        <w:rPr>
          <w:rFonts w:ascii="Times New Roman" w:hAnsi="Times New Roman"/>
          <w:b/>
          <w:sz w:val="28"/>
          <w:szCs w:val="28"/>
        </w:rPr>
        <w:t xml:space="preserve"> </w:t>
      </w:r>
      <w:r w:rsidRPr="004E65C0">
        <w:rPr>
          <w:rFonts w:ascii="Times New Roman" w:hAnsi="Times New Roman"/>
          <w:sz w:val="28"/>
          <w:szCs w:val="28"/>
        </w:rPr>
        <w:t xml:space="preserve">год выручка от реализации продукции, работ, услуг прогнозируется в объеме </w:t>
      </w:r>
      <w:r>
        <w:rPr>
          <w:rFonts w:ascii="Times New Roman" w:hAnsi="Times New Roman"/>
          <w:sz w:val="28"/>
          <w:szCs w:val="28"/>
        </w:rPr>
        <w:t>18,7</w:t>
      </w:r>
      <w:r w:rsidRPr="004E65C0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>8</w:t>
      </w:r>
      <w:r w:rsidRPr="004E65C0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C0">
        <w:rPr>
          <w:rFonts w:ascii="Times New Roman" w:hAnsi="Times New Roman"/>
          <w:sz w:val="28"/>
          <w:szCs w:val="28"/>
        </w:rPr>
        <w:t>выше оценки 202</w:t>
      </w:r>
      <w:r>
        <w:rPr>
          <w:rFonts w:ascii="Times New Roman" w:hAnsi="Times New Roman"/>
          <w:sz w:val="28"/>
          <w:szCs w:val="28"/>
        </w:rPr>
        <w:t>3</w:t>
      </w:r>
      <w:r w:rsidRPr="004E65C0">
        <w:rPr>
          <w:rFonts w:ascii="Times New Roman" w:hAnsi="Times New Roman"/>
          <w:sz w:val="28"/>
          <w:szCs w:val="28"/>
        </w:rPr>
        <w:t xml:space="preserve"> года.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На </w:t>
      </w:r>
      <w:r w:rsidRPr="00DA56A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>
        <w:rPr>
          <w:rFonts w:ascii="Times New Roman" w:hAnsi="Times New Roman"/>
          <w:sz w:val="28"/>
          <w:szCs w:val="28"/>
        </w:rPr>
        <w:t>19,3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 xml:space="preserve">6 млн. рублей </w:t>
      </w:r>
      <w:r w:rsidRPr="00DA56AC">
        <w:rPr>
          <w:rFonts w:ascii="Times New Roman" w:hAnsi="Times New Roman"/>
          <w:sz w:val="28"/>
          <w:szCs w:val="28"/>
        </w:rPr>
        <w:t>выше прогноза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2026</w:t>
      </w:r>
      <w:r w:rsidRPr="00DA56AC">
        <w:rPr>
          <w:rFonts w:ascii="Times New Roman" w:hAnsi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>
        <w:rPr>
          <w:rFonts w:ascii="Times New Roman" w:hAnsi="Times New Roman"/>
          <w:sz w:val="28"/>
          <w:szCs w:val="28"/>
        </w:rPr>
        <w:t>19,9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>6 млн. рублей выше прогноза на 2025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Данные о выручке от реализации продукции, работ, услуг за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DA56AC">
        <w:rPr>
          <w:rFonts w:ascii="Times New Roman" w:hAnsi="Times New Roman"/>
          <w:sz w:val="28"/>
          <w:szCs w:val="28"/>
        </w:rPr>
        <w:t>год, ожидаемая оценка за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и прогнозируемые показатели 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годах представлены на следующей таблице.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974"/>
        <w:gridCol w:w="1122"/>
        <w:gridCol w:w="1129"/>
        <w:gridCol w:w="1129"/>
        <w:gridCol w:w="1129"/>
      </w:tblGrid>
      <w:tr w:rsidR="00A3021E" w:rsidRPr="00DA56AC" w:rsidTr="00E91E06">
        <w:tc>
          <w:tcPr>
            <w:tcW w:w="2426" w:type="dxa"/>
            <w:vMerge w:val="restart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</w:rPr>
              <w:t>Выручка от реализации продукции, работ</w:t>
            </w:r>
            <w:r>
              <w:rPr>
                <w:rFonts w:ascii="Times New Roman" w:hAnsi="Times New Roman"/>
              </w:rPr>
              <w:t>,</w:t>
            </w:r>
            <w:r w:rsidRPr="00DA56AC">
              <w:rPr>
                <w:rFonts w:ascii="Times New Roman" w:hAnsi="Times New Roman"/>
              </w:rPr>
              <w:t xml:space="preserve"> услуг </w:t>
            </w:r>
          </w:p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млн</w:t>
            </w:r>
            <w:r w:rsidRPr="00DA56AC">
              <w:rPr>
                <w:rFonts w:ascii="Times New Roman" w:hAnsi="Times New Roman"/>
              </w:rPr>
              <w:t>. рублей)</w:t>
            </w:r>
          </w:p>
        </w:tc>
        <w:tc>
          <w:tcPr>
            <w:tcW w:w="974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Факт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3021E" w:rsidRPr="00DA56AC" w:rsidTr="00E91E06">
        <w:tc>
          <w:tcPr>
            <w:tcW w:w="2426" w:type="dxa"/>
            <w:vMerge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22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129" w:type="dxa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</w:tr>
    </w:tbl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Прогнозе изменены отдельные показатели на 2024 и 2025 годы по сравнению с соответствующими показателями, заложенными в основу формирования бюджета Ручейского муниципального образования на 2023 год и на плановый период 2024 и 2025 годов в ноябре 2022 года.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ст. 173 БК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  <w:r>
        <w:rPr>
          <w:rFonts w:ascii="Times New Roman" w:hAnsi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отмечено в пояснительной записке к Прогнозу: «Прогноз социально-экономического развития на 2024 год и плановый период 2025 и 2026 годов </w:t>
      </w:r>
      <w:r>
        <w:rPr>
          <w:rFonts w:ascii="Times New Roman" w:hAnsi="Times New Roman"/>
          <w:sz w:val="28"/>
          <w:szCs w:val="28"/>
        </w:rPr>
        <w:lastRenderedPageBreak/>
        <w:t xml:space="preserve">разработан путем уточнения параметров планового периода и добавления параметров второго года планового периода.». 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1E6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отступление от требований</w:t>
      </w:r>
      <w:r>
        <w:rPr>
          <w:rFonts w:ascii="Times New Roman" w:hAnsi="Times New Roman"/>
          <w:sz w:val="28"/>
          <w:szCs w:val="28"/>
        </w:rPr>
        <w:t xml:space="preserve"> пункта 4 статьи 173 БК РФ </w:t>
      </w:r>
      <w:r w:rsidRPr="008311E6">
        <w:rPr>
          <w:rFonts w:ascii="Times New Roman" w:hAnsi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Pr="00760AB8">
        <w:rPr>
          <w:rFonts w:ascii="Times New Roman" w:hAnsi="Times New Roman"/>
          <w:i/>
          <w:sz w:val="28"/>
          <w:szCs w:val="28"/>
          <w:u w:val="single"/>
        </w:rPr>
        <w:t>не приводится обоснование параметров П</w:t>
      </w:r>
      <w:r>
        <w:rPr>
          <w:rFonts w:ascii="Times New Roman" w:hAnsi="Times New Roman"/>
          <w:i/>
          <w:sz w:val="28"/>
          <w:szCs w:val="28"/>
          <w:u w:val="single"/>
        </w:rPr>
        <w:t>рогноза,</w:t>
      </w:r>
      <w:r w:rsidRPr="007A188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Ручейского муниципального образования на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DA56A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6</w:t>
      </w:r>
      <w:r w:rsidRPr="00DA56A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3021E" w:rsidRPr="00DA56AC" w:rsidRDefault="00A3021E" w:rsidP="00A30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21E" w:rsidRPr="00DA56AC" w:rsidRDefault="00A3021E" w:rsidP="00A3021E">
      <w:pPr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A3021E" w:rsidRPr="00DA56AC" w:rsidRDefault="00A3021E" w:rsidP="00A3021E">
      <w:pPr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A3021E" w:rsidRPr="00DA56AC" w:rsidRDefault="00A3021E" w:rsidP="00A3021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19"/>
        <w:gridCol w:w="851"/>
        <w:gridCol w:w="850"/>
        <w:gridCol w:w="1275"/>
        <w:gridCol w:w="993"/>
        <w:gridCol w:w="1134"/>
      </w:tblGrid>
      <w:tr w:rsidR="00A3021E" w:rsidRPr="00DA56AC" w:rsidTr="00E91E06">
        <w:trPr>
          <w:trHeight w:hRule="exact"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г.,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23 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</w:tr>
      <w:tr w:rsidR="00A3021E" w:rsidRPr="00DA56AC" w:rsidTr="00E91E06">
        <w:trPr>
          <w:trHeight w:hRule="exact"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Выручка от реализации продукции, работ, услуг по полному кругу организаций,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A3021E" w:rsidRPr="00DA56AC" w:rsidTr="00E91E06">
        <w:trPr>
          <w:trHeight w:hRule="exact"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Оборот розничной торговли</w:t>
            </w: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A3021E" w:rsidRPr="00DA56AC" w:rsidTr="00E91E06">
        <w:trPr>
          <w:trHeight w:hRule="exact"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</w:tr>
      <w:tr w:rsidR="00A3021E" w:rsidRPr="00DA56AC" w:rsidTr="00E91E06">
        <w:trPr>
          <w:trHeight w:hRule="exact"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106,55</w:t>
            </w:r>
          </w:p>
        </w:tc>
      </w:tr>
      <w:tr w:rsidR="00A3021E" w:rsidRPr="00DA56AC" w:rsidTr="00E91E06">
        <w:trPr>
          <w:trHeight w:hRule="exact"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A3021E" w:rsidRPr="00DA56AC" w:rsidTr="00E91E06">
        <w:trPr>
          <w:trHeight w:hRule="exact"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49 970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51 879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53 813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021E" w:rsidRPr="00DA56AC" w:rsidTr="00E91E06">
        <w:trPr>
          <w:trHeight w:hRule="exact"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</w:tbl>
    <w:p w:rsidR="00A3021E" w:rsidRPr="00DA56AC" w:rsidRDefault="00A3021E" w:rsidP="00A3021E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b/>
          <w:bCs/>
          <w:spacing w:val="-1"/>
          <w:sz w:val="28"/>
          <w:szCs w:val="28"/>
        </w:rPr>
      </w:pPr>
    </w:p>
    <w:p w:rsidR="00A3021E" w:rsidRPr="00DA56AC" w:rsidRDefault="00A3021E" w:rsidP="00A3021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6AC">
        <w:rPr>
          <w:rFonts w:ascii="Times New Roman" w:hAnsi="Times New Roman"/>
          <w:bCs/>
          <w:sz w:val="28"/>
          <w:szCs w:val="28"/>
        </w:rPr>
        <w:t xml:space="preserve">Численность постоянно проживающего населения </w:t>
      </w:r>
      <w:r w:rsidRPr="00DA56AC">
        <w:rPr>
          <w:rFonts w:ascii="Times New Roman" w:hAnsi="Times New Roman"/>
          <w:bCs/>
          <w:spacing w:val="-1"/>
          <w:sz w:val="28"/>
          <w:szCs w:val="28"/>
        </w:rPr>
        <w:t xml:space="preserve">Ручейского </w:t>
      </w:r>
      <w:r w:rsidRPr="00DA56AC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, согласно данных Иркутскстата по состоянию на 01.01.2023 г.,</w:t>
      </w:r>
      <w:r w:rsidRPr="00DA56AC">
        <w:rPr>
          <w:rFonts w:ascii="Times New Roman" w:hAnsi="Times New Roman"/>
          <w:bCs/>
          <w:sz w:val="28"/>
          <w:szCs w:val="28"/>
        </w:rPr>
        <w:t xml:space="preserve"> составляет </w:t>
      </w:r>
      <w:r>
        <w:rPr>
          <w:rFonts w:ascii="Times New Roman" w:hAnsi="Times New Roman"/>
          <w:bCs/>
          <w:sz w:val="28"/>
          <w:szCs w:val="28"/>
        </w:rPr>
        <w:t xml:space="preserve">929 </w:t>
      </w:r>
      <w:r w:rsidRPr="00DA56AC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(в пояснительной записке к ПСЭР указано 1 305 чел.)</w:t>
      </w:r>
      <w:r w:rsidRPr="00DA56AC">
        <w:rPr>
          <w:rFonts w:ascii="Times New Roman" w:hAnsi="Times New Roman"/>
          <w:bCs/>
          <w:sz w:val="28"/>
          <w:szCs w:val="28"/>
        </w:rPr>
        <w:t xml:space="preserve">. Численность работающих на предприятиях </w:t>
      </w:r>
      <w:r w:rsidRPr="00DA56AC">
        <w:rPr>
          <w:rFonts w:ascii="Times New Roman" w:hAnsi="Times New Roman"/>
          <w:bCs/>
          <w:spacing w:val="-1"/>
          <w:sz w:val="28"/>
          <w:szCs w:val="28"/>
        </w:rPr>
        <w:t xml:space="preserve">Ручейского </w:t>
      </w:r>
      <w:r w:rsidRPr="00DA56AC">
        <w:rPr>
          <w:rFonts w:ascii="Times New Roman" w:hAnsi="Times New Roman"/>
          <w:bCs/>
          <w:sz w:val="28"/>
          <w:szCs w:val="28"/>
        </w:rPr>
        <w:t>муниципального образования за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DA56AC">
        <w:rPr>
          <w:rFonts w:ascii="Times New Roman" w:hAnsi="Times New Roman"/>
          <w:bCs/>
          <w:sz w:val="28"/>
          <w:szCs w:val="28"/>
        </w:rPr>
        <w:t xml:space="preserve"> год составила 1</w:t>
      </w:r>
      <w:r>
        <w:rPr>
          <w:rFonts w:ascii="Times New Roman" w:hAnsi="Times New Roman"/>
          <w:bCs/>
          <w:sz w:val="28"/>
          <w:szCs w:val="28"/>
        </w:rPr>
        <w:t>61</w:t>
      </w:r>
      <w:r w:rsidRPr="00DA56AC">
        <w:rPr>
          <w:rFonts w:ascii="Times New Roman" w:hAnsi="Times New Roman"/>
          <w:bCs/>
          <w:sz w:val="28"/>
          <w:szCs w:val="28"/>
        </w:rPr>
        <w:t xml:space="preserve"> человек, ожидаемое количество работающих за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A56AC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6</w:t>
      </w:r>
      <w:r w:rsidRPr="00DA56AC">
        <w:rPr>
          <w:rFonts w:ascii="Times New Roman" w:hAnsi="Times New Roman"/>
          <w:bCs/>
          <w:sz w:val="28"/>
          <w:szCs w:val="28"/>
        </w:rPr>
        <w:t xml:space="preserve"> годы – 1</w:t>
      </w:r>
      <w:r>
        <w:rPr>
          <w:rFonts w:ascii="Times New Roman" w:hAnsi="Times New Roman"/>
          <w:bCs/>
          <w:sz w:val="28"/>
          <w:szCs w:val="28"/>
        </w:rPr>
        <w:t>65</w:t>
      </w:r>
      <w:r w:rsidRPr="00DA56AC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A3021E" w:rsidRPr="00DA56AC" w:rsidRDefault="00A3021E" w:rsidP="00A3021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На территории Ручейс</w:t>
      </w:r>
      <w:r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Pr="00DA56AC">
        <w:rPr>
          <w:rFonts w:ascii="Times New Roman" w:hAnsi="Times New Roman"/>
          <w:sz w:val="28"/>
          <w:szCs w:val="28"/>
        </w:rPr>
        <w:t xml:space="preserve"> действует АУ «Каймоновский лесхоз»</w:t>
      </w:r>
      <w:r>
        <w:rPr>
          <w:rFonts w:ascii="Times New Roman" w:hAnsi="Times New Roman"/>
          <w:sz w:val="28"/>
          <w:szCs w:val="28"/>
        </w:rPr>
        <w:t>, которое не производит валового продукта</w:t>
      </w:r>
      <w:r w:rsidRPr="00DA56AC">
        <w:rPr>
          <w:rFonts w:ascii="Times New Roman" w:hAnsi="Times New Roman"/>
          <w:sz w:val="28"/>
          <w:szCs w:val="28"/>
        </w:rPr>
        <w:t xml:space="preserve">. Бюджетная сфера представлена образованием, здравоохранением, культурой и Администрацией Ручейского сельского поселения. </w:t>
      </w: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DA56AC">
        <w:rPr>
          <w:rFonts w:ascii="Times New Roman" w:hAnsi="Times New Roman"/>
          <w:bCs/>
          <w:sz w:val="28"/>
          <w:szCs w:val="28"/>
        </w:rPr>
        <w:t>уровень жизни населения.</w:t>
      </w:r>
    </w:p>
    <w:p w:rsidR="00A3021E" w:rsidRPr="00C928C7" w:rsidRDefault="00A3021E" w:rsidP="00A3021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проекта решения Думы Ручейского сельского поселения 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>«О бюджете Ручейского муниципального образования на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 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на 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>плановый период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годов»</w:t>
      </w:r>
    </w:p>
    <w:p w:rsidR="00A3021E" w:rsidRPr="00DA56AC" w:rsidRDefault="00A3021E" w:rsidP="00A3021E">
      <w:pPr>
        <w:tabs>
          <w:tab w:val="left" w:pos="8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ab/>
      </w:r>
    </w:p>
    <w:p w:rsidR="00A3021E" w:rsidRPr="00310120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</w:t>
      </w:r>
      <w:r w:rsidRPr="00310120">
        <w:rPr>
          <w:rFonts w:ascii="Times New Roman" w:hAnsi="Times New Roman"/>
          <w:bCs/>
          <w:sz w:val="28"/>
          <w:szCs w:val="28"/>
        </w:rPr>
        <w:t xml:space="preserve">Думы Ручейского сельского поселения 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>«О бюджете Ручейского муниципального образования на 202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и 202</w:t>
      </w: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администрацией Ручейского муниципального образования представлены Основные направления бюджетной </w:t>
      </w:r>
      <w:r w:rsidRPr="007B1439">
        <w:rPr>
          <w:rFonts w:ascii="Times New Roman" w:hAnsi="Times New Roman"/>
          <w:bCs/>
          <w:spacing w:val="-1"/>
          <w:sz w:val="28"/>
          <w:szCs w:val="28"/>
        </w:rPr>
        <w:t>и налоговой политики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Ручейского муниципального образования на 2024 год и на плановый период 2025 и 2026 годов (далее – Основные направления). 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утверждены распоряжением администрации Ручейского сельского поселения от 03.11.2023 №15-р. </w:t>
      </w:r>
      <w:r w:rsidRPr="00987EDD">
        <w:rPr>
          <w:rFonts w:ascii="Times New Roman" w:hAnsi="Times New Roman"/>
          <w:sz w:val="28"/>
          <w:szCs w:val="28"/>
        </w:rPr>
        <w:t>Следует отметить, что заглавие Основных направлений (приложение №1 к распоряжению) не корректно («Основные направления бюджетной политики…»).</w:t>
      </w:r>
      <w:r>
        <w:rPr>
          <w:rFonts w:ascii="Times New Roman" w:hAnsi="Times New Roman"/>
          <w:sz w:val="28"/>
          <w:szCs w:val="28"/>
        </w:rPr>
        <w:t xml:space="preserve"> Аналогичное замечание было и к Проекту решения на 2023-2025 годы.</w:t>
      </w:r>
    </w:p>
    <w:p w:rsidR="00A3021E" w:rsidRPr="007B0A05" w:rsidRDefault="00A3021E" w:rsidP="00A302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КСК УКМО отмечает слабую разработку Основных направлений (без учета </w:t>
      </w:r>
      <w:hyperlink r:id="rId9" w:history="1">
        <w:r w:rsidRPr="007B0A05">
          <w:rPr>
            <w:rFonts w:ascii="Times New Roman" w:eastAsia="Times New Roman" w:hAnsi="Times New Roman"/>
            <w:sz w:val="28"/>
            <w:szCs w:val="28"/>
            <w:lang w:eastAsia="ru-RU"/>
          </w:rPr>
          <w:t>Основных направлений</w:t>
        </w:r>
      </w:hyperlink>
      <w:r w:rsidRPr="007B0A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бюджетной, налоговой и таможенно-тарифной политики Российской Федерации на 2024 год и на плановый период 2025 и 2026 годов, разработанных Минфином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B0A05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Основных направлений бюджетной и налоговой политики Иркутской области на 2024 год и на плановый период 2025 и 2026 годов, разработанных Минфином Иркутской области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, </w:t>
      </w:r>
      <w:r w:rsidRPr="007B0A05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B0A0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B0A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и налоговой политики Усть-Кутского муниципального образования на 2024 год и на плановый период 2025 и 2026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021E" w:rsidRPr="00DA56AC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DA56AC">
        <w:rPr>
          <w:rFonts w:ascii="Times New Roman" w:hAnsi="Times New Roman"/>
          <w:sz w:val="28"/>
          <w:szCs w:val="28"/>
          <w:lang w:eastAsia="ru-RU"/>
        </w:rPr>
        <w:t>, как отмечено в пояснительной записке, сформирован в соответствии с требованиями Б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РФ, решения Думы Ручейского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DA56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DA56AC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Ручейском муниципальном образовании»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Pr="00DA56AC">
        <w:rPr>
          <w:rFonts w:ascii="Times New Roman" w:hAnsi="Times New Roman"/>
          <w:sz w:val="28"/>
          <w:szCs w:val="28"/>
          <w:lang w:eastAsia="ru-RU"/>
        </w:rPr>
        <w:t>,</w:t>
      </w:r>
      <w:r w:rsidRPr="00DA56A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 xml:space="preserve">а также с учетом </w:t>
      </w:r>
      <w:r w:rsidRPr="00987EDD">
        <w:rPr>
          <w:rFonts w:ascii="Times New Roman" w:hAnsi="Times New Roman"/>
          <w:sz w:val="28"/>
          <w:szCs w:val="28"/>
        </w:rPr>
        <w:t>основных направлений бюджетной и налоговой политики Ручейского муниципального на 202</w:t>
      </w:r>
      <w:r>
        <w:rPr>
          <w:rFonts w:ascii="Times New Roman" w:hAnsi="Times New Roman"/>
          <w:sz w:val="28"/>
          <w:szCs w:val="28"/>
        </w:rPr>
        <w:t>4</w:t>
      </w:r>
      <w:r w:rsidRPr="00987E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987ED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987EDD">
        <w:rPr>
          <w:rFonts w:ascii="Times New Roman" w:hAnsi="Times New Roman"/>
          <w:sz w:val="28"/>
          <w:szCs w:val="28"/>
        </w:rPr>
        <w:t xml:space="preserve"> годов</w:t>
      </w:r>
      <w:r w:rsidRPr="00987EDD">
        <w:rPr>
          <w:rFonts w:ascii="Times New Roman" w:hAnsi="Times New Roman"/>
          <w:sz w:val="28"/>
          <w:szCs w:val="28"/>
          <w:lang w:eastAsia="ru-RU"/>
        </w:rPr>
        <w:t>.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Учтены ожидаемые параметры исполнения бюджета Ручейского муниципального образования за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год, основные показатели прогноза социально-экономического развития Ручейского муниципального образования </w:t>
      </w:r>
      <w:r w:rsidRPr="00987EDD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987EDD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987ED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987EDD">
        <w:rPr>
          <w:rFonts w:ascii="Times New Roman" w:hAnsi="Times New Roman"/>
          <w:sz w:val="28"/>
          <w:szCs w:val="28"/>
        </w:rPr>
        <w:t xml:space="preserve"> годов.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</w:p>
    <w:p w:rsidR="00A3021E" w:rsidRPr="00DA56AC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>В соответствии с бюджетным законодательством, Проект бюджета Ручейского муниципального образования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годов, сформирован на трёхлетний период, что обеспечивает стабильность и предсказуемо</w:t>
      </w:r>
      <w:r>
        <w:rPr>
          <w:rFonts w:ascii="Times New Roman" w:hAnsi="Times New Roman"/>
          <w:sz w:val="28"/>
          <w:szCs w:val="28"/>
          <w:lang w:eastAsia="ru-RU"/>
        </w:rPr>
        <w:t>сть развития бюджетной системы П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оселения. </w:t>
      </w:r>
      <w:r>
        <w:rPr>
          <w:rFonts w:ascii="Times New Roman" w:hAnsi="Times New Roman"/>
          <w:sz w:val="28"/>
          <w:szCs w:val="28"/>
          <w:lang w:eastAsia="ru-RU"/>
        </w:rPr>
        <w:t>Показатели Проекта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Основные параметры бюджета Ручейского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годов сформированы в следующих объемах:</w:t>
      </w:r>
    </w:p>
    <w:p w:rsidR="00A3021E" w:rsidRPr="00DA56AC" w:rsidRDefault="00A3021E" w:rsidP="00A3021E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559"/>
        <w:gridCol w:w="1559"/>
      </w:tblGrid>
      <w:tr w:rsidR="00A3021E" w:rsidRPr="00DA56AC" w:rsidTr="00E91E06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3021E" w:rsidRPr="00DA56AC" w:rsidTr="00E91E06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28 252,2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29 098,3</w:t>
            </w:r>
          </w:p>
        </w:tc>
      </w:tr>
      <w:tr w:rsidR="00A3021E" w:rsidRPr="00DA56AC" w:rsidTr="00E91E06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4 051,4</w:t>
            </w:r>
          </w:p>
        </w:tc>
      </w:tr>
      <w:tr w:rsidR="00A3021E" w:rsidRPr="00DA56AC" w:rsidTr="00E91E06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25 046,9</w:t>
            </w:r>
          </w:p>
        </w:tc>
      </w:tr>
      <w:tr w:rsidR="00A3021E" w:rsidRPr="00DA56AC" w:rsidTr="00E91E06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27 454,6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29 240,1</w:t>
            </w:r>
          </w:p>
        </w:tc>
      </w:tr>
      <w:tr w:rsidR="00A3021E" w:rsidRPr="00DA56AC" w:rsidTr="00E91E06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lastRenderedPageBreak/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937C6C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0B1">
              <w:rPr>
                <w:rFonts w:ascii="Times New Roman" w:hAnsi="Times New Roman"/>
                <w:sz w:val="24"/>
                <w:szCs w:val="24"/>
              </w:rPr>
              <w:t>9 208,6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06">
              <w:rPr>
                <w:rFonts w:ascii="Times New Roman" w:hAnsi="Times New Roman"/>
                <w:sz w:val="24"/>
                <w:szCs w:val="24"/>
              </w:rPr>
              <w:t>9 217,9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06">
              <w:rPr>
                <w:rFonts w:ascii="Times New Roman" w:hAnsi="Times New Roman"/>
                <w:sz w:val="24"/>
                <w:szCs w:val="24"/>
              </w:rPr>
              <w:t>8 957,3</w:t>
            </w:r>
          </w:p>
        </w:tc>
      </w:tr>
      <w:tr w:rsidR="00A3021E" w:rsidRPr="00DA56AC" w:rsidTr="00E91E06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937C6C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C30B1">
              <w:rPr>
                <w:rFonts w:ascii="Times New Roman" w:hAnsi="Times New Roman"/>
                <w:bCs/>
                <w:sz w:val="24"/>
                <w:szCs w:val="24"/>
              </w:rPr>
              <w:t>18 246,0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19 171,2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20 282,8</w:t>
            </w:r>
          </w:p>
        </w:tc>
      </w:tr>
      <w:tr w:rsidR="00A3021E" w:rsidRPr="00DA56AC" w:rsidTr="00E91E06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1 014,1</w:t>
            </w:r>
          </w:p>
        </w:tc>
      </w:tr>
      <w:tr w:rsidR="00A3021E" w:rsidRPr="00DA56AC" w:rsidTr="00E91E06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240E06" w:rsidRDefault="00A3021E" w:rsidP="00E91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06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A3021E" w:rsidRPr="00DA56AC" w:rsidTr="00E91E06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141,8</w:t>
            </w:r>
          </w:p>
        </w:tc>
      </w:tr>
      <w:tr w:rsidR="00A3021E" w:rsidRPr="00DA56AC" w:rsidTr="00E91E06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Процент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3021E" w:rsidRPr="00DA56AC" w:rsidTr="00E91E06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A3021E" w:rsidRPr="00DA56AC" w:rsidTr="00E91E06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1 911,3</w:t>
            </w:r>
          </w:p>
        </w:tc>
      </w:tr>
    </w:tbl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021E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бюджета сформирован с превышением доходов над расходами:</w:t>
      </w:r>
    </w:p>
    <w:p w:rsidR="00A3021E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2024 год на 134,3 тыс. рублей;</w:t>
      </w:r>
    </w:p>
    <w:p w:rsidR="00A3021E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2025 год на 136,9тыс. рублей;</w:t>
      </w:r>
    </w:p>
    <w:p w:rsidR="00A3021E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2026 год на 141,8 тыс. рублей,</w:t>
      </w:r>
    </w:p>
    <w:p w:rsidR="00A3021E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составляет 3,5% от утвержденного общего годового объема доходов бюджета без учета объема безвозмездных поступлений ежегодно и не превышает предельного значения, установленного абзацем 1 пункта 3 статьи 92.1 БК РФ.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926">
        <w:rPr>
          <w:rFonts w:ascii="Times New Roman" w:hAnsi="Times New Roman"/>
          <w:sz w:val="28"/>
          <w:szCs w:val="28"/>
          <w:lang w:eastAsia="ru-RU"/>
        </w:rPr>
        <w:t>КСК УКМО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отмечает, Ручейское муниципальное образование в соответствии с приказом министерства финансов Иркутской области от 04.09.2023 г. №44н-мпр «Об утверждении перечней муниципальных образований Иркутской области в соответствии с положениями </w:t>
      </w:r>
      <w:r w:rsidRPr="00240E06">
        <w:rPr>
          <w:rFonts w:ascii="Times New Roman" w:hAnsi="Times New Roman"/>
          <w:sz w:val="28"/>
          <w:szCs w:val="28"/>
          <w:lang w:eastAsia="ru-RU"/>
        </w:rPr>
        <w:t>пункта 3 статьи 136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Федерации»  </w:t>
      </w:r>
      <w:r w:rsidRPr="003E7C0E">
        <w:rPr>
          <w:rFonts w:ascii="Times New Roman" w:hAnsi="Times New Roman"/>
          <w:sz w:val="28"/>
          <w:szCs w:val="28"/>
          <w:u w:val="single"/>
          <w:lang w:eastAsia="ru-RU"/>
        </w:rPr>
        <w:t>отнесено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муниципальным образованиям, в бюджетах которых </w:t>
      </w:r>
      <w:r w:rsidRPr="006315E1">
        <w:rPr>
          <w:rFonts w:ascii="Times New Roman" w:hAnsi="Times New Roman"/>
          <w:b/>
          <w:sz w:val="28"/>
          <w:szCs w:val="28"/>
          <w:lang w:eastAsia="ru-RU"/>
        </w:rPr>
        <w:t>доля дотаций из других бюджетов бюджетной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6315E1">
        <w:rPr>
          <w:rFonts w:ascii="Times New Roman" w:hAnsi="Times New Roman"/>
          <w:b/>
          <w:sz w:val="28"/>
          <w:szCs w:val="28"/>
          <w:lang w:eastAsia="ru-RU"/>
        </w:rPr>
        <w:t xml:space="preserve">превышала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315E1">
        <w:rPr>
          <w:rFonts w:ascii="Times New Roman" w:hAnsi="Times New Roman"/>
          <w:b/>
          <w:sz w:val="28"/>
          <w:szCs w:val="28"/>
          <w:lang w:eastAsia="ru-RU"/>
        </w:rPr>
        <w:t>0 процентов объема доходов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 Т. е. </w:t>
      </w:r>
      <w:r w:rsidRPr="002F00BE">
        <w:rPr>
          <w:rFonts w:ascii="Times New Roman" w:hAnsi="Times New Roman"/>
          <w:b/>
          <w:sz w:val="28"/>
          <w:szCs w:val="28"/>
          <w:lang w:eastAsia="ru-RU"/>
        </w:rPr>
        <w:t xml:space="preserve">дефицит бюджета не должен превышать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2F00BE">
        <w:rPr>
          <w:rFonts w:ascii="Times New Roman" w:hAnsi="Times New Roman"/>
          <w:b/>
          <w:sz w:val="28"/>
          <w:szCs w:val="28"/>
          <w:lang w:eastAsia="ru-RU"/>
        </w:rPr>
        <w:t xml:space="preserve"> процентов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условие в предлагаемом Проекте бюджета соблюдено. 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Размер резервного фонда администрации Ручейского муниципального образования предлагается в размере 100,0 тыс. рублей ежегодно.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статьей 107 БК РФ.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A3021E" w:rsidRDefault="00A3021E" w:rsidP="00A3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Экспертиза текстовой части Проекта решения бюджета показала, что в целом Проект решения соответствует требованиям действующего законодательства.</w:t>
      </w:r>
    </w:p>
    <w:p w:rsidR="00A3021E" w:rsidRDefault="00A3021E" w:rsidP="00A3021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с тем, КСК УКМО предлагает исключить статью 13, как противоречащую бюджетному законодательству.</w:t>
      </w:r>
    </w:p>
    <w:p w:rsidR="00A3021E" w:rsidRPr="00783378" w:rsidRDefault="00A3021E" w:rsidP="00A3021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021E" w:rsidRPr="00DA56AC" w:rsidRDefault="00A3021E" w:rsidP="00A3021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>Анализ доходной части бюджета Ручей</w:t>
      </w:r>
      <w:r w:rsidRPr="00DA56AC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021E" w:rsidRPr="00DA56AC" w:rsidRDefault="00A3021E" w:rsidP="00A302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При подготовке прогноза доходов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годов учтены изменения в законодательстве Российской Федерации, </w:t>
      </w:r>
      <w:r>
        <w:rPr>
          <w:rFonts w:ascii="Times New Roman" w:hAnsi="Times New Roman"/>
          <w:sz w:val="28"/>
          <w:szCs w:val="28"/>
        </w:rPr>
        <w:t xml:space="preserve">показатели проекта Закона Иркутской области «Об областном бюджете на 2024 год и на плановый период 2025 и 2026 годов», распределение межбюджетных трансфертов, передаваемых из бюджета Усть-Кутского муниципального образования в бюджет Ручейского муниципального образования, </w:t>
      </w:r>
      <w:r w:rsidRPr="00DA56AC">
        <w:rPr>
          <w:rFonts w:ascii="Times New Roman" w:hAnsi="Times New Roman"/>
          <w:sz w:val="28"/>
          <w:szCs w:val="28"/>
        </w:rPr>
        <w:t xml:space="preserve">а также ожидаемая оценка исполнения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A56AC">
        <w:rPr>
          <w:rFonts w:ascii="Times New Roman" w:hAnsi="Times New Roman"/>
          <w:sz w:val="28"/>
          <w:szCs w:val="28"/>
        </w:rPr>
        <w:t>бюджета за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8"/>
          <w:szCs w:val="28"/>
        </w:rPr>
        <w:t>Показатели поступления доходов в бюджет Ручейского муниципального образования в 20</w:t>
      </w:r>
      <w:r>
        <w:rPr>
          <w:rFonts w:ascii="Times New Roman" w:hAnsi="Times New Roman"/>
          <w:sz w:val="28"/>
          <w:szCs w:val="28"/>
        </w:rPr>
        <w:t>23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годах с учетом изменения бюджетного и налогового законодательства представлены в таблице:</w:t>
      </w:r>
    </w:p>
    <w:p w:rsidR="00A3021E" w:rsidRPr="00DA56AC" w:rsidRDefault="00A3021E" w:rsidP="00A3021E">
      <w:pPr>
        <w:tabs>
          <w:tab w:val="left" w:pos="55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4"/>
          <w:szCs w:val="24"/>
        </w:rPr>
        <w:tab/>
        <w:t>тыс. рублей</w:t>
      </w:r>
    </w:p>
    <w:p w:rsidR="00A3021E" w:rsidRPr="00DA56AC" w:rsidRDefault="00A3021E" w:rsidP="00A3021E">
      <w:pPr>
        <w:tabs>
          <w:tab w:val="left" w:pos="55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798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70"/>
        <w:gridCol w:w="1134"/>
        <w:gridCol w:w="1134"/>
        <w:gridCol w:w="1134"/>
        <w:gridCol w:w="1134"/>
        <w:gridCol w:w="1275"/>
      </w:tblGrid>
      <w:tr w:rsidR="00A3021E" w:rsidRPr="00DA56AC" w:rsidTr="00E91E06">
        <w:trPr>
          <w:trHeight w:val="8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:rsidR="00A3021E" w:rsidRPr="00EA1C7B" w:rsidRDefault="00A3021E" w:rsidP="00E91E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3021E" w:rsidRPr="00DA56AC" w:rsidTr="00E91E06">
        <w:trPr>
          <w:trHeight w:val="95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sz w:val="24"/>
                <w:szCs w:val="24"/>
              </w:rPr>
              <w:t>3 698,2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7525F8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4 051,4</w:t>
            </w:r>
          </w:p>
        </w:tc>
      </w:tr>
      <w:tr w:rsidR="00A3021E" w:rsidRPr="00DA56AC" w:rsidTr="00E91E06">
        <w:trPr>
          <w:trHeight w:val="34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EA1C7B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07">
              <w:rPr>
                <w:rFonts w:ascii="Times New Roman" w:hAnsi="Times New Roman"/>
                <w:sz w:val="24"/>
                <w:szCs w:val="24"/>
              </w:rPr>
              <w:t>3 344,4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7525F8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07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3 836,2</w:t>
            </w:r>
          </w:p>
        </w:tc>
      </w:tr>
      <w:tr w:rsidR="00A3021E" w:rsidRPr="00DA56AC" w:rsidTr="00E91E06">
        <w:trPr>
          <w:trHeight w:val="35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rPr>
                <w:rFonts w:ascii="Times New Roman" w:hAnsi="Times New Roman"/>
                <w:sz w:val="24"/>
                <w:szCs w:val="24"/>
              </w:rPr>
            </w:pPr>
            <w:r w:rsidRPr="00EA1C7B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07">
              <w:rPr>
                <w:rFonts w:ascii="Times New Roman" w:hAnsi="Times New Roman"/>
                <w:sz w:val="24"/>
                <w:szCs w:val="24"/>
              </w:rPr>
              <w:t xml:space="preserve">  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0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</w:tr>
      <w:tr w:rsidR="00A3021E" w:rsidRPr="00DA56AC" w:rsidTr="00E91E06">
        <w:trPr>
          <w:trHeight w:val="49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sz w:val="24"/>
                <w:szCs w:val="24"/>
              </w:rPr>
              <w:t>21 396,0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25 046,9</w:t>
            </w:r>
          </w:p>
        </w:tc>
      </w:tr>
      <w:tr w:rsidR="00A3021E" w:rsidRPr="00DA56AC" w:rsidTr="00E91E06">
        <w:trPr>
          <w:trHeight w:val="28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bCs/>
                <w:sz w:val="24"/>
                <w:szCs w:val="24"/>
              </w:rPr>
              <w:t>25 094,2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1B6207" w:rsidRDefault="00A3021E" w:rsidP="00E91E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207">
              <w:rPr>
                <w:rFonts w:ascii="Times New Roman" w:hAnsi="Times New Roman"/>
                <w:b/>
                <w:bCs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28 252,2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1E" w:rsidRPr="00EA1C7B" w:rsidRDefault="00A3021E" w:rsidP="00E91E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29 098,3</w:t>
            </w:r>
          </w:p>
        </w:tc>
      </w:tr>
    </w:tbl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5F8">
        <w:rPr>
          <w:rFonts w:ascii="Times New Roman" w:hAnsi="Times New Roman"/>
          <w:sz w:val="28"/>
          <w:szCs w:val="28"/>
        </w:rPr>
        <w:t xml:space="preserve">Представленный к утверждению объем доходов бюджета Ручейского муниципального образования на </w:t>
      </w:r>
      <w:r w:rsidRPr="007525F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7525F8">
        <w:rPr>
          <w:rFonts w:ascii="Times New Roman" w:hAnsi="Times New Roman"/>
          <w:b/>
          <w:sz w:val="28"/>
          <w:szCs w:val="28"/>
        </w:rPr>
        <w:t xml:space="preserve"> </w:t>
      </w:r>
      <w:r w:rsidRPr="007525F8">
        <w:rPr>
          <w:rFonts w:ascii="Times New Roman" w:hAnsi="Times New Roman"/>
          <w:sz w:val="28"/>
          <w:szCs w:val="28"/>
        </w:rPr>
        <w:t xml:space="preserve">год больше в сравнении с ожидаемым </w:t>
      </w:r>
      <w:r w:rsidRPr="007525F8">
        <w:rPr>
          <w:rFonts w:ascii="Times New Roman" w:hAnsi="Times New Roman"/>
          <w:sz w:val="28"/>
          <w:szCs w:val="28"/>
        </w:rPr>
        <w:lastRenderedPageBreak/>
        <w:t>исполнением бюджета в 202</w:t>
      </w:r>
      <w:r>
        <w:rPr>
          <w:rFonts w:ascii="Times New Roman" w:hAnsi="Times New Roman"/>
          <w:sz w:val="28"/>
          <w:szCs w:val="28"/>
        </w:rPr>
        <w:t>3</w:t>
      </w:r>
      <w:r w:rsidRPr="007525F8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2 226,1</w:t>
      </w:r>
      <w:r w:rsidRPr="007525F8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8,9</w:t>
      </w:r>
      <w:r w:rsidRPr="007525F8">
        <w:rPr>
          <w:rFonts w:ascii="Times New Roman" w:hAnsi="Times New Roman"/>
          <w:sz w:val="28"/>
          <w:szCs w:val="28"/>
        </w:rPr>
        <w:t>%.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 к Проекту решения не содержит информации по росту в 2024 году налоговых и неналоговых доходов.</w:t>
      </w:r>
    </w:p>
    <w:p w:rsidR="00A3021E" w:rsidRPr="000C3572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КСК УКМО отмечает, что представленная к Проекту бюджета </w:t>
      </w:r>
      <w:r w:rsidRPr="00E64400">
        <w:rPr>
          <w:rFonts w:ascii="Times New Roman" w:hAnsi="Times New Roman"/>
          <w:i/>
          <w:sz w:val="28"/>
          <w:szCs w:val="28"/>
          <w:u w:val="single"/>
        </w:rPr>
        <w:t>пояснительная записка слабо информативна как по доходам, так и по расходам</w:t>
      </w:r>
      <w:r>
        <w:rPr>
          <w:rFonts w:ascii="Times New Roman" w:hAnsi="Times New Roman"/>
          <w:sz w:val="28"/>
          <w:szCs w:val="28"/>
        </w:rPr>
        <w:t xml:space="preserve">, содержит повтор цифр проекта бюджета, отраженных в приложениях и не содержит пояснений о причинах либо роста, либо снижения </w:t>
      </w:r>
      <w:r w:rsidRPr="00AF11A8">
        <w:rPr>
          <w:rFonts w:ascii="Times New Roman" w:hAnsi="Times New Roman"/>
          <w:sz w:val="28"/>
          <w:szCs w:val="28"/>
        </w:rPr>
        <w:t>тех или иных показателей</w:t>
      </w:r>
      <w:r>
        <w:rPr>
          <w:rFonts w:ascii="Times New Roman" w:hAnsi="Times New Roman"/>
          <w:sz w:val="28"/>
          <w:szCs w:val="28"/>
        </w:rPr>
        <w:t>. Аналогичные замечания были отражены в заключении на проект бюджета Ручейского муниципального образования на 2022-2024 годы, 2023-2025 годы.</w:t>
      </w:r>
    </w:p>
    <w:p w:rsidR="00A3021E" w:rsidRPr="005B02DD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B0A05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ни пояснительная записка, ни Основные направления не содержат информации по оценке налоговых расходов, которая </w:t>
      </w:r>
      <w:r w:rsidRPr="005B02DD">
        <w:rPr>
          <w:rFonts w:ascii="Times New Roman" w:hAnsi="Times New Roman"/>
          <w:sz w:val="28"/>
          <w:szCs w:val="28"/>
        </w:rPr>
        <w:t>учитыва</w:t>
      </w:r>
      <w:r>
        <w:rPr>
          <w:rFonts w:ascii="Times New Roman" w:hAnsi="Times New Roman"/>
          <w:sz w:val="28"/>
          <w:szCs w:val="28"/>
        </w:rPr>
        <w:t>е</w:t>
      </w:r>
      <w:r w:rsidRPr="005B02DD">
        <w:rPr>
          <w:rFonts w:ascii="Times New Roman" w:hAnsi="Times New Roman"/>
          <w:sz w:val="28"/>
          <w:szCs w:val="28"/>
        </w:rPr>
        <w:t xml:space="preserve">тся при формировании основных направлений бюджетной,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5B02DD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>я (ст. 174.3 БК РФ).</w:t>
      </w:r>
    </w:p>
    <w:p w:rsidR="00A3021E" w:rsidRPr="007B0A05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021E" w:rsidRPr="00DA56AC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>Представленные проектом бюджета прогнозные показатели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56AC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годов с определением их удельного веса (доли) в общем объеме доходов представлены в таблице</w:t>
      </w:r>
    </w:p>
    <w:p w:rsidR="00A3021E" w:rsidRPr="00DA56AC" w:rsidRDefault="00A3021E" w:rsidP="00A3021E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DA56AC">
        <w:rPr>
          <w:rFonts w:ascii="Times New Roman" w:hAnsi="Times New Roman"/>
          <w:lang w:eastAsia="ru-RU"/>
        </w:rPr>
        <w:t>тыс. рублей</w:t>
      </w:r>
    </w:p>
    <w:p w:rsidR="00A3021E" w:rsidRPr="00DA56AC" w:rsidRDefault="00A3021E" w:rsidP="00A3021E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850"/>
        <w:gridCol w:w="1134"/>
        <w:gridCol w:w="851"/>
        <w:gridCol w:w="1134"/>
        <w:gridCol w:w="992"/>
        <w:gridCol w:w="1134"/>
        <w:gridCol w:w="992"/>
      </w:tblGrid>
      <w:tr w:rsidR="00A3021E" w:rsidRPr="00DA56AC" w:rsidTr="00E91E06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оценка 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в</w:t>
            </w:r>
            <w:r w:rsidRPr="00DA56AC">
              <w:rPr>
                <w:rFonts w:ascii="Times New Roman" w:hAnsi="Times New Roman"/>
                <w:lang w:eastAsia="ru-RU"/>
              </w:rPr>
              <w:t>ес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A56AC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A3021E" w:rsidRPr="00DA56AC" w:rsidTr="00E91E06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3 698,2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13,9</w:t>
            </w:r>
          </w:p>
        </w:tc>
      </w:tr>
      <w:tr w:rsidR="00A3021E" w:rsidRPr="00DA56AC" w:rsidTr="00E91E0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23 482,1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86,1</w:t>
            </w:r>
          </w:p>
        </w:tc>
      </w:tr>
      <w:tr w:rsidR="00A3021E" w:rsidRPr="00DA56AC" w:rsidTr="00E91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25 094,2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27 320,3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28 252,2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29 098,3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DA56AC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</w:tbl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9F5E65" w:rsidRDefault="00A3021E" w:rsidP="00A30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E65">
        <w:rPr>
          <w:rFonts w:ascii="Times New Roman" w:hAnsi="Times New Roman"/>
          <w:sz w:val="28"/>
          <w:szCs w:val="28"/>
          <w:lang w:eastAsia="ru-RU"/>
        </w:rPr>
        <w:t xml:space="preserve">Как видно из таблицы, удельный вес налоговых и неналоговых доходов и безвозмездных поступлений по годам остается примерно на одном уровне в прогнозируемом периоде. </w:t>
      </w:r>
    </w:p>
    <w:p w:rsidR="00A3021E" w:rsidRPr="007B0A05" w:rsidRDefault="00A3021E" w:rsidP="00A3021E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tabs>
          <w:tab w:val="left" w:pos="28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Налоговые</w:t>
      </w:r>
      <w:r>
        <w:rPr>
          <w:rFonts w:ascii="Times New Roman" w:hAnsi="Times New Roman"/>
          <w:b/>
          <w:sz w:val="28"/>
          <w:szCs w:val="28"/>
        </w:rPr>
        <w:t>, неналоговые</w:t>
      </w:r>
      <w:r w:rsidRPr="00DA56AC">
        <w:rPr>
          <w:rFonts w:ascii="Times New Roman" w:hAnsi="Times New Roman"/>
          <w:b/>
          <w:sz w:val="28"/>
          <w:szCs w:val="28"/>
        </w:rPr>
        <w:t xml:space="preserve"> доходы</w:t>
      </w:r>
    </w:p>
    <w:p w:rsidR="00A3021E" w:rsidRPr="00DA56AC" w:rsidRDefault="00A3021E" w:rsidP="00A3021E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прогноз поступлений налоговых доходов определен в сумме </w:t>
      </w:r>
      <w:r>
        <w:rPr>
          <w:rFonts w:ascii="Times New Roman" w:hAnsi="Times New Roman"/>
          <w:sz w:val="28"/>
          <w:szCs w:val="28"/>
        </w:rPr>
        <w:t>3 838,2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3,8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выше</w:t>
      </w:r>
      <w:r w:rsidRPr="00DA56AC">
        <w:rPr>
          <w:rFonts w:ascii="Times New Roman" w:hAnsi="Times New Roman"/>
          <w:sz w:val="28"/>
          <w:szCs w:val="28"/>
        </w:rPr>
        <w:t xml:space="preserve"> ожидаемых поступлений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года, на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3 911,6 тыс. рублей (2,9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DA56AC">
        <w:rPr>
          <w:rFonts w:ascii="Times New Roman" w:hAnsi="Times New Roman"/>
          <w:sz w:val="28"/>
          <w:szCs w:val="28"/>
        </w:rPr>
        <w:t>к уровню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A56AC">
        <w:rPr>
          <w:rFonts w:ascii="Times New Roman" w:hAnsi="Times New Roman"/>
          <w:sz w:val="28"/>
          <w:szCs w:val="28"/>
        </w:rPr>
        <w:t>года), на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4 051,4</w:t>
      </w:r>
      <w:r w:rsidRPr="00DA56AC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3,6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выше к уровню</w:t>
      </w:r>
      <w:r w:rsidRPr="00DA56A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года).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вид налоговых доходов – это </w:t>
      </w:r>
      <w:r w:rsidRPr="00AD2118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>, доходы от уплаты акцизов.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</w:p>
    <w:p w:rsidR="00A3021E" w:rsidRPr="00111D17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17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Pr="00111D17">
        <w:rPr>
          <w:rFonts w:ascii="Times New Roman" w:hAnsi="Times New Roman"/>
          <w:sz w:val="28"/>
          <w:szCs w:val="28"/>
          <w:u w:val="single"/>
        </w:rPr>
        <w:t>налога на доходы физических лиц</w:t>
      </w:r>
      <w:r w:rsidRPr="00111D17">
        <w:rPr>
          <w:rFonts w:ascii="Times New Roman" w:hAnsi="Times New Roman"/>
          <w:sz w:val="28"/>
          <w:szCs w:val="28"/>
        </w:rPr>
        <w:t xml:space="preserve"> в местный бюджет на 202</w:t>
      </w:r>
      <w:r>
        <w:rPr>
          <w:rFonts w:ascii="Times New Roman" w:hAnsi="Times New Roman"/>
          <w:sz w:val="28"/>
          <w:szCs w:val="28"/>
        </w:rPr>
        <w:t>4</w:t>
      </w:r>
      <w:r w:rsidRPr="00111D17">
        <w:rPr>
          <w:rFonts w:ascii="Times New Roman" w:hAnsi="Times New Roman"/>
          <w:sz w:val="28"/>
          <w:szCs w:val="28"/>
        </w:rPr>
        <w:t xml:space="preserve"> год запланирован в сумме 1</w:t>
      </w:r>
      <w:r>
        <w:rPr>
          <w:rFonts w:ascii="Times New Roman" w:hAnsi="Times New Roman"/>
          <w:sz w:val="28"/>
          <w:szCs w:val="28"/>
        </w:rPr>
        <w:t> 340,0</w:t>
      </w:r>
      <w:r w:rsidRPr="00111D17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97,0</w:t>
      </w:r>
      <w:r w:rsidRPr="00111D17">
        <w:rPr>
          <w:rFonts w:ascii="Times New Roman" w:hAnsi="Times New Roman"/>
          <w:sz w:val="28"/>
          <w:szCs w:val="28"/>
        </w:rPr>
        <w:t xml:space="preserve"> тыс. рублей (на </w:t>
      </w:r>
      <w:r>
        <w:rPr>
          <w:rFonts w:ascii="Times New Roman" w:hAnsi="Times New Roman"/>
          <w:sz w:val="28"/>
          <w:szCs w:val="28"/>
        </w:rPr>
        <w:t>6,8</w:t>
      </w:r>
      <w:r w:rsidRPr="00111D17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ниже</w:t>
      </w:r>
      <w:r w:rsidRPr="00111D17">
        <w:rPr>
          <w:rFonts w:ascii="Times New Roman" w:hAnsi="Times New Roman"/>
          <w:sz w:val="28"/>
          <w:szCs w:val="28"/>
        </w:rPr>
        <w:t xml:space="preserve"> ожидаемого поступления в 202</w:t>
      </w:r>
      <w:r>
        <w:rPr>
          <w:rFonts w:ascii="Times New Roman" w:hAnsi="Times New Roman"/>
          <w:sz w:val="28"/>
          <w:szCs w:val="28"/>
        </w:rPr>
        <w:t>3</w:t>
      </w:r>
      <w:r w:rsidRPr="00111D17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111D17">
        <w:rPr>
          <w:rFonts w:ascii="Times New Roman" w:hAnsi="Times New Roman"/>
          <w:sz w:val="28"/>
          <w:szCs w:val="28"/>
        </w:rPr>
        <w:t xml:space="preserve"> году – 1</w:t>
      </w:r>
      <w:r>
        <w:rPr>
          <w:rFonts w:ascii="Times New Roman" w:hAnsi="Times New Roman"/>
          <w:sz w:val="28"/>
          <w:szCs w:val="28"/>
        </w:rPr>
        <w:t> 393,6</w:t>
      </w:r>
      <w:r w:rsidRPr="00111D17">
        <w:rPr>
          <w:rFonts w:ascii="Times New Roman" w:hAnsi="Times New Roman"/>
          <w:sz w:val="28"/>
          <w:szCs w:val="28"/>
        </w:rPr>
        <w:t xml:space="preserve"> тыс. рублей, </w:t>
      </w:r>
      <w:r w:rsidRPr="00111D17">
        <w:rPr>
          <w:rFonts w:ascii="Times New Roman" w:hAnsi="Times New Roman"/>
          <w:sz w:val="28"/>
          <w:szCs w:val="28"/>
        </w:rPr>
        <w:lastRenderedPageBreak/>
        <w:t>что на 4,</w:t>
      </w:r>
      <w:r>
        <w:rPr>
          <w:rFonts w:ascii="Times New Roman" w:hAnsi="Times New Roman"/>
          <w:sz w:val="28"/>
          <w:szCs w:val="28"/>
        </w:rPr>
        <w:t>0</w:t>
      </w:r>
      <w:r w:rsidRPr="00111D17">
        <w:rPr>
          <w:rFonts w:ascii="Times New Roman" w:hAnsi="Times New Roman"/>
          <w:sz w:val="28"/>
          <w:szCs w:val="28"/>
        </w:rPr>
        <w:t>% выше прогнозируемых поступлений 202</w:t>
      </w:r>
      <w:r>
        <w:rPr>
          <w:rFonts w:ascii="Times New Roman" w:hAnsi="Times New Roman"/>
          <w:sz w:val="28"/>
          <w:szCs w:val="28"/>
        </w:rPr>
        <w:t>4</w:t>
      </w:r>
      <w:r w:rsidRPr="00111D17">
        <w:rPr>
          <w:rFonts w:ascii="Times New Roman" w:hAnsi="Times New Roman"/>
          <w:sz w:val="28"/>
          <w:szCs w:val="28"/>
        </w:rPr>
        <w:t xml:space="preserve"> года, в 202</w:t>
      </w:r>
      <w:r>
        <w:rPr>
          <w:rFonts w:ascii="Times New Roman" w:hAnsi="Times New Roman"/>
          <w:sz w:val="28"/>
          <w:szCs w:val="28"/>
        </w:rPr>
        <w:t>6</w:t>
      </w:r>
      <w:r w:rsidRPr="00111D17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1 450,0</w:t>
      </w:r>
      <w:r w:rsidRPr="00111D17">
        <w:rPr>
          <w:rFonts w:ascii="Times New Roman" w:hAnsi="Times New Roman"/>
          <w:sz w:val="28"/>
          <w:szCs w:val="28"/>
        </w:rPr>
        <w:t xml:space="preserve"> тыс. рублей, что выше прогноза 202</w:t>
      </w:r>
      <w:r>
        <w:rPr>
          <w:rFonts w:ascii="Times New Roman" w:hAnsi="Times New Roman"/>
          <w:sz w:val="28"/>
          <w:szCs w:val="28"/>
        </w:rPr>
        <w:t>5</w:t>
      </w:r>
      <w:r w:rsidRPr="00111D17">
        <w:rPr>
          <w:rFonts w:ascii="Times New Roman" w:hAnsi="Times New Roman"/>
          <w:sz w:val="28"/>
          <w:szCs w:val="28"/>
        </w:rPr>
        <w:t xml:space="preserve"> года на 4,0%.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17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Pr="00111D17">
        <w:rPr>
          <w:rFonts w:ascii="Times New Roman" w:hAnsi="Times New Roman"/>
          <w:sz w:val="28"/>
          <w:szCs w:val="28"/>
          <w:u w:val="single"/>
        </w:rPr>
        <w:t>доходов от уплаты акцизов</w:t>
      </w:r>
      <w:r w:rsidRPr="00111D17">
        <w:rPr>
          <w:rFonts w:ascii="Times New Roman" w:hAnsi="Times New Roman"/>
          <w:sz w:val="28"/>
          <w:szCs w:val="28"/>
        </w:rPr>
        <w:t xml:space="preserve"> в местный бюджет на 202</w:t>
      </w:r>
      <w:r>
        <w:rPr>
          <w:rFonts w:ascii="Times New Roman" w:hAnsi="Times New Roman"/>
          <w:sz w:val="28"/>
          <w:szCs w:val="28"/>
        </w:rPr>
        <w:t>4</w:t>
      </w:r>
      <w:r w:rsidRPr="00111D17">
        <w:rPr>
          <w:rFonts w:ascii="Times New Roman" w:hAnsi="Times New Roman"/>
          <w:sz w:val="28"/>
          <w:szCs w:val="28"/>
        </w:rPr>
        <w:t xml:space="preserve"> год запланирован главным администратором данного вида доходов (Управление федерального казначейства по Иркутской области) в сумме </w:t>
      </w:r>
      <w:r>
        <w:rPr>
          <w:rFonts w:ascii="Times New Roman" w:hAnsi="Times New Roman"/>
          <w:sz w:val="28"/>
          <w:szCs w:val="28"/>
        </w:rPr>
        <w:t>1 792</w:t>
      </w:r>
      <w:r w:rsidRPr="00111D17">
        <w:rPr>
          <w:rFonts w:ascii="Times New Roman" w:hAnsi="Times New Roman"/>
          <w:sz w:val="28"/>
          <w:szCs w:val="28"/>
        </w:rPr>
        <w:t xml:space="preserve">,7 тыс. рублей, что на </w:t>
      </w:r>
      <w:r>
        <w:rPr>
          <w:rFonts w:ascii="Times New Roman" w:hAnsi="Times New Roman"/>
          <w:sz w:val="28"/>
          <w:szCs w:val="28"/>
        </w:rPr>
        <w:t>328,0</w:t>
      </w:r>
      <w:r w:rsidRPr="00111D17">
        <w:rPr>
          <w:rFonts w:ascii="Times New Roman" w:hAnsi="Times New Roman"/>
          <w:sz w:val="28"/>
          <w:szCs w:val="28"/>
        </w:rPr>
        <w:t xml:space="preserve"> тыс. рублей (на </w:t>
      </w:r>
      <w:r>
        <w:rPr>
          <w:rFonts w:ascii="Times New Roman" w:hAnsi="Times New Roman"/>
          <w:sz w:val="28"/>
          <w:szCs w:val="28"/>
        </w:rPr>
        <w:t>22,4</w:t>
      </w:r>
      <w:r w:rsidRPr="00111D17">
        <w:rPr>
          <w:rFonts w:ascii="Times New Roman" w:hAnsi="Times New Roman"/>
          <w:sz w:val="28"/>
          <w:szCs w:val="28"/>
        </w:rPr>
        <w:t>%) вы</w:t>
      </w:r>
      <w:r>
        <w:rPr>
          <w:rFonts w:ascii="Times New Roman" w:hAnsi="Times New Roman"/>
          <w:sz w:val="28"/>
          <w:szCs w:val="28"/>
        </w:rPr>
        <w:t>ше ожидаемого поступления в 2023</w:t>
      </w:r>
      <w:r w:rsidRPr="00111D17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111D17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1 847,1</w:t>
      </w:r>
      <w:r w:rsidRPr="00111D17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3,0</w:t>
      </w:r>
      <w:r w:rsidRPr="00111D17">
        <w:rPr>
          <w:rFonts w:ascii="Times New Roman" w:hAnsi="Times New Roman"/>
          <w:sz w:val="28"/>
          <w:szCs w:val="28"/>
        </w:rPr>
        <w:t>% выше прогнозируемых поступлений 202</w:t>
      </w:r>
      <w:r>
        <w:rPr>
          <w:rFonts w:ascii="Times New Roman" w:hAnsi="Times New Roman"/>
          <w:sz w:val="28"/>
          <w:szCs w:val="28"/>
        </w:rPr>
        <w:t>4</w:t>
      </w:r>
      <w:r w:rsidRPr="00111D17">
        <w:rPr>
          <w:rFonts w:ascii="Times New Roman" w:hAnsi="Times New Roman"/>
          <w:sz w:val="28"/>
          <w:szCs w:val="28"/>
        </w:rPr>
        <w:t xml:space="preserve"> года, в 202</w:t>
      </w:r>
      <w:r>
        <w:rPr>
          <w:rFonts w:ascii="Times New Roman" w:hAnsi="Times New Roman"/>
          <w:sz w:val="28"/>
          <w:szCs w:val="28"/>
        </w:rPr>
        <w:t>6</w:t>
      </w:r>
      <w:r w:rsidRPr="00111D17">
        <w:rPr>
          <w:rFonts w:ascii="Times New Roman" w:hAnsi="Times New Roman"/>
          <w:sz w:val="28"/>
          <w:szCs w:val="28"/>
        </w:rPr>
        <w:t xml:space="preserve"> году – 1</w:t>
      </w:r>
      <w:r>
        <w:rPr>
          <w:rFonts w:ascii="Times New Roman" w:hAnsi="Times New Roman"/>
          <w:sz w:val="28"/>
          <w:szCs w:val="28"/>
        </w:rPr>
        <w:t> 911,3</w:t>
      </w:r>
      <w:r w:rsidRPr="00111D17">
        <w:rPr>
          <w:rFonts w:ascii="Times New Roman" w:hAnsi="Times New Roman"/>
          <w:sz w:val="28"/>
          <w:szCs w:val="28"/>
        </w:rPr>
        <w:t xml:space="preserve"> тыс. рублей, что выше прогноза 202</w:t>
      </w:r>
      <w:r>
        <w:rPr>
          <w:rFonts w:ascii="Times New Roman" w:hAnsi="Times New Roman"/>
          <w:sz w:val="28"/>
          <w:szCs w:val="28"/>
        </w:rPr>
        <w:t>5</w:t>
      </w:r>
      <w:r w:rsidRPr="00111D17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3,5</w:t>
      </w:r>
      <w:r w:rsidRPr="00111D17">
        <w:rPr>
          <w:rFonts w:ascii="Times New Roman" w:hAnsi="Times New Roman"/>
          <w:sz w:val="28"/>
          <w:szCs w:val="28"/>
        </w:rPr>
        <w:t>%.</w:t>
      </w:r>
    </w:p>
    <w:p w:rsidR="00A3021E" w:rsidRPr="00996088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Удельный вес налога на доходы физических лиц в сумме налоговых и неналоговых доходов состав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>т: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34,9</w:t>
      </w:r>
      <w:r w:rsidRPr="00DA56AC">
        <w:rPr>
          <w:rFonts w:ascii="Times New Roman" w:hAnsi="Times New Roman"/>
          <w:sz w:val="28"/>
          <w:szCs w:val="28"/>
        </w:rPr>
        <w:t xml:space="preserve"> %;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35,6</w:t>
      </w:r>
      <w:r w:rsidRPr="00DA56AC">
        <w:rPr>
          <w:rFonts w:ascii="Times New Roman" w:hAnsi="Times New Roman"/>
          <w:sz w:val="28"/>
          <w:szCs w:val="28"/>
        </w:rPr>
        <w:t xml:space="preserve"> %;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35,6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Удельный вес налога от уплаты акцизов на нефтепродукты в сумме налоговых и неналоговых доходов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39,6 %;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46,7 %;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47,2</w:t>
      </w:r>
      <w:r w:rsidRPr="00DA56AC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3021E" w:rsidRPr="00DA56AC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56AC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47,2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Прогнозные показатели поступлений по </w:t>
      </w:r>
      <w:r w:rsidRPr="00DA56AC">
        <w:rPr>
          <w:rFonts w:ascii="Times New Roman" w:hAnsi="Times New Roman"/>
          <w:sz w:val="28"/>
          <w:szCs w:val="28"/>
          <w:u w:val="single"/>
        </w:rPr>
        <w:t>налогу на имущество физических</w:t>
      </w:r>
      <w:r w:rsidRPr="00DA56A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B93">
        <w:rPr>
          <w:rFonts w:ascii="Times New Roman" w:hAnsi="Times New Roman"/>
          <w:sz w:val="28"/>
          <w:szCs w:val="28"/>
          <w:u w:val="single"/>
        </w:rPr>
        <w:t>неналоговые доходы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 объеме налоговых и неналоговых доходов занимают в 2024 году незначительный объем – 705,5 тыс. рублей или 18,4 %</w:t>
      </w:r>
      <w:r w:rsidRPr="00DA56AC">
        <w:rPr>
          <w:rFonts w:ascii="Times New Roman" w:hAnsi="Times New Roman"/>
          <w:sz w:val="28"/>
          <w:szCs w:val="28"/>
        </w:rPr>
        <w:t xml:space="preserve">. </w:t>
      </w:r>
    </w:p>
    <w:p w:rsidR="00A3021E" w:rsidRPr="00DA56AC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A3021E" w:rsidRPr="00DA56AC" w:rsidRDefault="00A3021E" w:rsidP="00A30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pacing w:val="-1"/>
          <w:sz w:val="28"/>
          <w:szCs w:val="28"/>
        </w:rPr>
        <w:t>Объем безвозмездных поступлений в бюджет Ручейского муниципального образования на 202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DA56AC">
        <w:rPr>
          <w:rFonts w:ascii="Times New Roman" w:hAnsi="Times New Roman"/>
          <w:spacing w:val="-1"/>
          <w:sz w:val="28"/>
          <w:szCs w:val="28"/>
        </w:rPr>
        <w:t xml:space="preserve"> год и на </w:t>
      </w:r>
      <w:r w:rsidRPr="00DA56AC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годов с учетом ожидаемой оценки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 представлен в следующей таблице:</w:t>
      </w:r>
    </w:p>
    <w:p w:rsidR="00A3021E" w:rsidRPr="00DA56AC" w:rsidRDefault="00A3021E" w:rsidP="00A3021E">
      <w:pPr>
        <w:shd w:val="clear" w:color="auto" w:fill="FFFFFF"/>
        <w:tabs>
          <w:tab w:val="left" w:pos="8084"/>
          <w:tab w:val="right" w:pos="10205"/>
        </w:tabs>
        <w:ind w:firstLine="709"/>
        <w:jc w:val="right"/>
        <w:rPr>
          <w:rFonts w:ascii="Times New Roman" w:hAnsi="Times New Roman"/>
        </w:rPr>
      </w:pPr>
      <w:r w:rsidRPr="00DA56AC">
        <w:rPr>
          <w:rFonts w:ascii="Times New Roman" w:hAnsi="Times New Roman"/>
          <w:spacing w:val="-2"/>
        </w:rPr>
        <w:t>тыс. рублей</w:t>
      </w:r>
    </w:p>
    <w:tbl>
      <w:tblPr>
        <w:tblW w:w="79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992"/>
        <w:gridCol w:w="850"/>
        <w:gridCol w:w="993"/>
        <w:gridCol w:w="1079"/>
        <w:gridCol w:w="992"/>
      </w:tblGrid>
      <w:tr w:rsidR="00A3021E" w:rsidRPr="00DA56AC" w:rsidTr="00E91E06">
        <w:trPr>
          <w:trHeight w:hRule="exact" w:val="7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line="230" w:lineRule="exact"/>
              <w:ind w:left="139" w:right="134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2022 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DA56AC">
              <w:rPr>
                <w:rFonts w:ascii="Times New Roman" w:hAnsi="Times New Roman"/>
                <w:b/>
                <w:sz w:val="20"/>
                <w:szCs w:val="20"/>
              </w:rPr>
              <w:t>г. прогноз</w:t>
            </w: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Темп</w:t>
            </w: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роста,</w:t>
            </w: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ind w:left="134" w:right="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ind w:left="134" w:right="125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г.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ind w:left="110" w:right="101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</w:t>
            </w: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прогноз</w:t>
            </w:r>
          </w:p>
        </w:tc>
      </w:tr>
      <w:tr w:rsidR="00A3021E" w:rsidRPr="00DA56AC" w:rsidTr="00E91E06">
        <w:trPr>
          <w:trHeight w:hRule="exact" w:val="63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Безвозмездные</w:t>
            </w:r>
          </w:p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поступления, в т.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A56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ч.</w:t>
            </w:r>
          </w:p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21 396,0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23 482,1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24 340,6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25 046,9</w:t>
            </w:r>
          </w:p>
        </w:tc>
      </w:tr>
      <w:tr w:rsidR="00A3021E" w:rsidRPr="00DA56AC" w:rsidTr="00E91E06">
        <w:trPr>
          <w:trHeight w:hRule="exact" w:val="50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 xml:space="preserve">Дотации на выравнивание бюджетной </w:t>
            </w: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16 089,6</w:t>
            </w:r>
          </w:p>
        </w:tc>
      </w:tr>
      <w:tr w:rsidR="00A3021E" w:rsidRPr="00DA56AC" w:rsidTr="00E91E06">
        <w:trPr>
          <w:trHeight w:val="3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A3021E" w:rsidRPr="00DA56AC" w:rsidTr="00E91E06">
        <w:trPr>
          <w:trHeight w:hRule="exact" w:val="35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257,3</w:t>
            </w:r>
          </w:p>
        </w:tc>
      </w:tr>
      <w:tr w:rsidR="00A3021E" w:rsidRPr="00DA56AC" w:rsidTr="00E91E06">
        <w:trPr>
          <w:trHeight w:hRule="exact" w:val="5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1E" w:rsidRPr="00DA56AC" w:rsidRDefault="00A3021E" w:rsidP="00E91E0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8 300,0</w:t>
            </w:r>
          </w:p>
        </w:tc>
      </w:tr>
    </w:tbl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</w:rPr>
        <w:t xml:space="preserve">Основную долю в безвозмездных поступлениях </w:t>
      </w:r>
      <w:r>
        <w:rPr>
          <w:rFonts w:ascii="Times New Roman" w:hAnsi="Times New Roman"/>
          <w:sz w:val="28"/>
          <w:szCs w:val="28"/>
        </w:rPr>
        <w:t xml:space="preserve">в 2024-2026 годах </w:t>
      </w:r>
      <w:r w:rsidRPr="00DA56AC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 xml:space="preserve">дотации </w:t>
      </w:r>
      <w:r w:rsidRPr="00DA56AC">
        <w:rPr>
          <w:rFonts w:ascii="Times New Roman" w:hAnsi="Times New Roman"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и иные межбюджетные трансферты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21E" w:rsidRPr="00DA56AC" w:rsidRDefault="00A3021E" w:rsidP="00A3021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>Анализ расходной части проекта бюджета Ручейс</w:t>
      </w:r>
      <w:r w:rsidRPr="00DA56AC">
        <w:rPr>
          <w:rFonts w:ascii="Times New Roman" w:hAnsi="Times New Roman"/>
          <w:b/>
          <w:sz w:val="28"/>
          <w:szCs w:val="28"/>
        </w:rPr>
        <w:t>кого муниципального образования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:rsidR="00A3021E" w:rsidRDefault="00A3021E" w:rsidP="00A3021E">
      <w:pPr>
        <w:pStyle w:val="3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3021E" w:rsidRPr="00271592" w:rsidRDefault="00A3021E" w:rsidP="00A3021E">
      <w:pPr>
        <w:pStyle w:val="3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Сравнительный анализ планируемых расходов местного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годы к оценке исполнения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 в разрезе разделов приведен в таблице:</w:t>
      </w: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56AC">
        <w:rPr>
          <w:rFonts w:ascii="Times New Roman" w:hAnsi="Times New Roman"/>
          <w:sz w:val="20"/>
          <w:szCs w:val="20"/>
        </w:rPr>
        <w:t>(тыс. рублей)</w:t>
      </w: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87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434"/>
        <w:gridCol w:w="851"/>
        <w:gridCol w:w="1133"/>
        <w:gridCol w:w="709"/>
        <w:gridCol w:w="1133"/>
        <w:gridCol w:w="709"/>
        <w:gridCol w:w="830"/>
        <w:gridCol w:w="1154"/>
        <w:gridCol w:w="1134"/>
      </w:tblGrid>
      <w:tr w:rsidR="00A3021E" w:rsidRPr="006B24CF" w:rsidTr="00E91E06">
        <w:trPr>
          <w:trHeight w:val="8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5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Темп роста к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3021E" w:rsidRPr="006B24CF" w:rsidTr="00E91E06">
        <w:trPr>
          <w:trHeight w:val="50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17 837,5</w:t>
            </w:r>
          </w:p>
        </w:tc>
      </w:tr>
      <w:tr w:rsidR="00A3021E" w:rsidRPr="006B24CF" w:rsidTr="00E91E06">
        <w:trPr>
          <w:trHeight w:val="41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21E" w:rsidRPr="006B24CF" w:rsidTr="00E91E06">
        <w:trPr>
          <w:trHeight w:val="51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2 463,5</w:t>
            </w:r>
          </w:p>
        </w:tc>
      </w:tr>
      <w:tr w:rsidR="00A3021E" w:rsidRPr="006B24CF" w:rsidTr="00E91E06">
        <w:trPr>
          <w:trHeight w:val="77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2 649,1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1 810,0</w:t>
            </w:r>
          </w:p>
        </w:tc>
      </w:tr>
      <w:tr w:rsidR="00A3021E" w:rsidRPr="006B24CF" w:rsidTr="00E91E06">
        <w:trPr>
          <w:trHeight w:val="77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21E" w:rsidRPr="006B24CF" w:rsidTr="00E91E06">
        <w:trPr>
          <w:trHeight w:val="30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A3021E" w:rsidRPr="006B24CF" w:rsidTr="00E91E06">
        <w:trPr>
          <w:trHeight w:val="41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8 665,0</w:t>
            </w:r>
          </w:p>
        </w:tc>
      </w:tr>
      <w:tr w:rsidR="00A3021E" w:rsidRPr="006B24CF" w:rsidTr="00E91E06">
        <w:trPr>
          <w:trHeight w:val="51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3021E" w:rsidRPr="006B24CF" w:rsidTr="00E91E06">
        <w:trPr>
          <w:trHeight w:val="72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21E" w:rsidRPr="006B24CF" w:rsidTr="00E91E06">
        <w:trPr>
          <w:trHeight w:val="30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27 193,0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27 454,6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E" w:rsidRPr="006B24CF" w:rsidRDefault="00A3021E" w:rsidP="00E9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28 226,0</w:t>
            </w:r>
          </w:p>
        </w:tc>
      </w:tr>
    </w:tbl>
    <w:p w:rsidR="00A3021E" w:rsidRPr="006B24CF" w:rsidRDefault="00A3021E" w:rsidP="00A302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021E" w:rsidRPr="006B24CF" w:rsidRDefault="00A3021E" w:rsidP="00A302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021E" w:rsidRPr="00DA56A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Проектом бюджета предусматриваются расходы Ручейского муниципального образования 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27 454,6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выш</w:t>
      </w:r>
      <w:r w:rsidRPr="00DA56AC">
        <w:rPr>
          <w:rFonts w:ascii="Times New Roman" w:hAnsi="Times New Roman"/>
          <w:sz w:val="28"/>
          <w:szCs w:val="28"/>
        </w:rPr>
        <w:t>е ожидаемой оценк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261,6</w:t>
      </w:r>
      <w:r w:rsidRPr="00DA56AC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101,0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A3021E" w:rsidRPr="00E64400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начальном этапе </w:t>
      </w:r>
      <w:r w:rsidRPr="00DA56AC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 xml:space="preserve">значительное </w:t>
      </w:r>
      <w:r w:rsidRPr="00DA56AC">
        <w:rPr>
          <w:rFonts w:ascii="Times New Roman" w:hAnsi="Times New Roman"/>
          <w:sz w:val="28"/>
          <w:szCs w:val="28"/>
        </w:rPr>
        <w:t>сокращение расходов по раздел</w:t>
      </w:r>
      <w:r>
        <w:rPr>
          <w:rFonts w:ascii="Times New Roman" w:hAnsi="Times New Roman"/>
          <w:sz w:val="28"/>
          <w:szCs w:val="28"/>
        </w:rPr>
        <w:t>у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0400 «Национальная экономика» и разделу 0500 </w:t>
      </w:r>
      <w:r w:rsidRPr="00DA56AC">
        <w:rPr>
          <w:rFonts w:ascii="Times New Roman" w:hAnsi="Times New Roman"/>
          <w:sz w:val="28"/>
          <w:szCs w:val="28"/>
        </w:rPr>
        <w:t>«Жилищно-коммунальное хозяйство» по отношению к ожидаемому исполнению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года. </w:t>
      </w:r>
      <w:r w:rsidRPr="00E64400">
        <w:rPr>
          <w:rFonts w:ascii="Times New Roman" w:hAnsi="Times New Roman"/>
          <w:i/>
          <w:sz w:val="28"/>
          <w:szCs w:val="28"/>
        </w:rPr>
        <w:t>Пояснительная записка к проекту бюджета не содержит информации о столь значите</w:t>
      </w:r>
      <w:r>
        <w:rPr>
          <w:rFonts w:ascii="Times New Roman" w:hAnsi="Times New Roman"/>
          <w:i/>
          <w:sz w:val="28"/>
          <w:szCs w:val="28"/>
        </w:rPr>
        <w:t>льном снижении расходов по данны</w:t>
      </w:r>
      <w:r w:rsidRPr="00E64400">
        <w:rPr>
          <w:rFonts w:ascii="Times New Roman" w:hAnsi="Times New Roman"/>
          <w:i/>
          <w:sz w:val="28"/>
          <w:szCs w:val="28"/>
        </w:rPr>
        <w:t>м раздел</w:t>
      </w:r>
      <w:r>
        <w:rPr>
          <w:rFonts w:ascii="Times New Roman" w:hAnsi="Times New Roman"/>
          <w:i/>
          <w:sz w:val="28"/>
          <w:szCs w:val="28"/>
        </w:rPr>
        <w:t>ам</w:t>
      </w:r>
      <w:r w:rsidRPr="00E64400">
        <w:rPr>
          <w:rFonts w:ascii="Times New Roman" w:hAnsi="Times New Roman"/>
          <w:i/>
          <w:sz w:val="28"/>
          <w:szCs w:val="28"/>
        </w:rPr>
        <w:t>.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Раздел </w:t>
      </w:r>
      <w:r w:rsidRPr="00DA56AC">
        <w:rPr>
          <w:rFonts w:ascii="Times New Roman" w:hAnsi="Times New Roman"/>
          <w:b/>
          <w:sz w:val="28"/>
          <w:szCs w:val="28"/>
        </w:rPr>
        <w:t>0100 «Общегосударственные вопросы»</w:t>
      </w:r>
      <w:r w:rsidRPr="00DA56AC">
        <w:rPr>
          <w:rFonts w:ascii="Times New Roman" w:hAnsi="Times New Roman"/>
          <w:sz w:val="28"/>
          <w:szCs w:val="28"/>
        </w:rPr>
        <w:t xml:space="preserve"> аккумулирует расходы на общегосударственные вопросы. 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D59AA">
        <w:rPr>
          <w:rFonts w:ascii="Times New Roman" w:hAnsi="Times New Roman"/>
          <w:sz w:val="28"/>
          <w:szCs w:val="28"/>
        </w:rPr>
        <w:t xml:space="preserve">КСК УКМО отмечает, что </w:t>
      </w:r>
      <w:r w:rsidRPr="00FD59AA">
        <w:rPr>
          <w:rFonts w:ascii="Times New Roman" w:hAnsi="Times New Roman"/>
          <w:b/>
          <w:sz w:val="28"/>
          <w:szCs w:val="28"/>
        </w:rPr>
        <w:t>в нарушение приказа</w:t>
      </w:r>
      <w:r w:rsidRPr="00FD59AA">
        <w:rPr>
          <w:rFonts w:ascii="Times New Roman" w:hAnsi="Times New Roman"/>
          <w:sz w:val="28"/>
          <w:szCs w:val="28"/>
        </w:rPr>
        <w:t xml:space="preserve"> Минфина России от 24.05.202</w:t>
      </w:r>
      <w:r>
        <w:rPr>
          <w:rFonts w:ascii="Times New Roman" w:hAnsi="Times New Roman"/>
          <w:sz w:val="28"/>
          <w:szCs w:val="28"/>
        </w:rPr>
        <w:t>2 №82н «</w:t>
      </w:r>
      <w:r w:rsidRPr="00FD59AA">
        <w:rPr>
          <w:rFonts w:ascii="Times New Roman" w:hAnsi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/>
          <w:sz w:val="28"/>
          <w:szCs w:val="28"/>
        </w:rPr>
        <w:t>труктуре и принципах назначения</w:t>
      </w:r>
      <w:r w:rsidRPr="006414F5">
        <w:rPr>
          <w:rFonts w:ascii="Times New Roman" w:hAnsi="Times New Roman"/>
          <w:sz w:val="28"/>
          <w:szCs w:val="28"/>
        </w:rPr>
        <w:t xml:space="preserve">» в </w:t>
      </w:r>
      <w:r w:rsidRPr="006414F5">
        <w:rPr>
          <w:rFonts w:ascii="Times New Roman" w:hAnsi="Times New Roman"/>
          <w:sz w:val="28"/>
          <w:szCs w:val="28"/>
        </w:rPr>
        <w:lastRenderedPageBreak/>
        <w:t>приложениях №5, 6</w:t>
      </w:r>
      <w:r>
        <w:rPr>
          <w:rFonts w:ascii="Times New Roman" w:hAnsi="Times New Roman"/>
          <w:sz w:val="28"/>
          <w:szCs w:val="28"/>
        </w:rPr>
        <w:t>, 7, 8</w:t>
      </w:r>
      <w:r w:rsidRPr="006414F5">
        <w:rPr>
          <w:rFonts w:ascii="Times New Roman" w:hAnsi="Times New Roman"/>
          <w:sz w:val="28"/>
          <w:szCs w:val="28"/>
        </w:rPr>
        <w:t xml:space="preserve"> по расходам к Проекту бюджета </w:t>
      </w:r>
      <w:r w:rsidRPr="006414F5">
        <w:rPr>
          <w:rFonts w:ascii="Times New Roman" w:hAnsi="Times New Roman"/>
          <w:i/>
          <w:sz w:val="28"/>
          <w:szCs w:val="28"/>
          <w:u w:val="single"/>
        </w:rPr>
        <w:t xml:space="preserve">некорректно отражено </w:t>
      </w:r>
      <w:r w:rsidRPr="006414F5">
        <w:rPr>
          <w:rFonts w:ascii="Times New Roman" w:hAnsi="Times New Roman"/>
          <w:i/>
          <w:sz w:val="28"/>
          <w:szCs w:val="28"/>
          <w:u w:val="single"/>
          <w:lang w:eastAsia="ru-RU"/>
        </w:rPr>
        <w:t>наименование: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раздел, подраздел: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подраздел 1001 «</w:t>
      </w:r>
      <w:r w:rsidRPr="0067769C">
        <w:rPr>
          <w:rFonts w:ascii="Times New Roman" w:hAnsi="Times New Roman"/>
          <w:sz w:val="28"/>
          <w:szCs w:val="28"/>
          <w:lang w:eastAsia="ru-RU"/>
        </w:rPr>
        <w:t>Пенсионное обеспечение</w:t>
      </w:r>
      <w:r>
        <w:rPr>
          <w:rFonts w:ascii="Times New Roman" w:hAnsi="Times New Roman"/>
          <w:sz w:val="28"/>
          <w:szCs w:val="28"/>
          <w:lang w:eastAsia="ru-RU"/>
        </w:rPr>
        <w:t>» - указано «Социальное обеспечение и иные выплаты населению», «Социальная политика»;</w:t>
      </w:r>
    </w:p>
    <w:p w:rsidR="00A3021E" w:rsidRPr="0067769C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подраздел 0705 «</w:t>
      </w:r>
      <w:r w:rsidRPr="002C068F">
        <w:rPr>
          <w:rFonts w:ascii="Times New Roman" w:hAnsi="Times New Roman"/>
          <w:sz w:val="28"/>
          <w:szCs w:val="28"/>
          <w:lang w:eastAsia="ru-RU"/>
        </w:rPr>
        <w:t>Профессиональная подготовка, переподготовка и повышение квалификации</w:t>
      </w:r>
      <w:r>
        <w:rPr>
          <w:rFonts w:ascii="Times New Roman" w:hAnsi="Times New Roman"/>
          <w:sz w:val="28"/>
          <w:szCs w:val="28"/>
          <w:lang w:eastAsia="ru-RU"/>
        </w:rPr>
        <w:t>» - указано «Закупки товаров, работ и услуг для обеспечения государственных (муниципальных) нужд»;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27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КЦСР:</w:t>
      </w:r>
      <w:r w:rsidRPr="007E1A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подразделу 0113</w:t>
      </w:r>
      <w:r w:rsidRPr="007E1AB1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Cs/>
          <w:sz w:val="28"/>
          <w:szCs w:val="28"/>
          <w:lang w:eastAsia="ru-RU"/>
        </w:rPr>
        <w:t>Другие общегосударственные расходы» – в одном случае «Прочие выплаты по обязательствам государства», в другом «Иные бюджетные ассигнования», не указано наименование КЦСР 0020067000;</w:t>
      </w:r>
    </w:p>
    <w:p w:rsidR="00A3021E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по подразделу 0705 «</w:t>
      </w:r>
      <w:r w:rsidRPr="002C068F">
        <w:rPr>
          <w:rFonts w:ascii="Times New Roman" w:hAnsi="Times New Roman"/>
          <w:iCs/>
          <w:sz w:val="28"/>
          <w:szCs w:val="28"/>
          <w:lang w:eastAsia="ru-RU"/>
        </w:rPr>
        <w:t>Профессиональная подготовка, переподготовка и повышение квалификации»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- не указано наименование КЦСР;</w:t>
      </w:r>
    </w:p>
    <w:p w:rsidR="00A3021E" w:rsidRPr="0091419F" w:rsidRDefault="00A3021E" w:rsidP="00A3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по подразделу 1001 «</w:t>
      </w:r>
      <w:r w:rsidRPr="006E0778">
        <w:rPr>
          <w:rFonts w:ascii="Times New Roman" w:hAnsi="Times New Roman"/>
          <w:iCs/>
          <w:sz w:val="28"/>
          <w:szCs w:val="28"/>
          <w:lang w:eastAsia="ru-RU"/>
        </w:rPr>
        <w:t>Пенсионное обеспечение»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- не указано наименование КЦСР.</w:t>
      </w:r>
      <w:r w:rsidRPr="007E1AB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3021E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CC">
        <w:rPr>
          <w:rFonts w:ascii="Times New Roman" w:hAnsi="Times New Roman"/>
          <w:sz w:val="28"/>
          <w:szCs w:val="28"/>
        </w:rPr>
        <w:t>Подразделу</w:t>
      </w:r>
      <w:r w:rsidRPr="00E318CC">
        <w:rPr>
          <w:rFonts w:ascii="Times New Roman" w:hAnsi="Times New Roman"/>
          <w:b/>
          <w:sz w:val="28"/>
          <w:szCs w:val="28"/>
        </w:rPr>
        <w:t xml:space="preserve"> 0113</w:t>
      </w:r>
      <w:r w:rsidRPr="00DA56AC">
        <w:rPr>
          <w:rFonts w:ascii="Times New Roman" w:hAnsi="Times New Roman"/>
          <w:b/>
          <w:sz w:val="28"/>
          <w:szCs w:val="28"/>
        </w:rPr>
        <w:t xml:space="preserve"> «Другие общегосударственные вопросы» </w:t>
      </w:r>
      <w:r w:rsidRPr="00DA56AC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Pr="00DA56A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в сумме 855,7 тыс. рублей </w:t>
      </w:r>
      <w:r w:rsidRPr="00DA56AC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 xml:space="preserve">5 год – 905,7 тыс. рублей, на </w:t>
      </w:r>
      <w:r w:rsidRPr="00DA56A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955,7</w:t>
      </w:r>
      <w:r w:rsidRPr="00DA56AC">
        <w:rPr>
          <w:rFonts w:ascii="Times New Roman" w:hAnsi="Times New Roman"/>
          <w:sz w:val="28"/>
          <w:szCs w:val="28"/>
        </w:rPr>
        <w:t xml:space="preserve"> тыс. рублей. 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НПА Ручейского муниципального о образования.</w:t>
      </w:r>
    </w:p>
    <w:p w:rsidR="00A3021E" w:rsidRDefault="00A3021E" w:rsidP="00A30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Бюджетные ассигнования на финансирование раздела </w:t>
      </w:r>
      <w:r w:rsidRPr="00DA56AC">
        <w:rPr>
          <w:rFonts w:ascii="Times New Roman" w:hAnsi="Times New Roman"/>
          <w:b/>
          <w:sz w:val="28"/>
          <w:szCs w:val="28"/>
        </w:rPr>
        <w:t>0800 «Культура</w:t>
      </w:r>
      <w:r>
        <w:rPr>
          <w:rFonts w:ascii="Times New Roman" w:hAnsi="Times New Roman"/>
          <w:b/>
          <w:sz w:val="28"/>
          <w:szCs w:val="28"/>
        </w:rPr>
        <w:t>,</w:t>
      </w:r>
      <w:r w:rsidRPr="00DA56AC">
        <w:rPr>
          <w:rFonts w:ascii="Times New Roman" w:hAnsi="Times New Roman"/>
          <w:b/>
          <w:sz w:val="28"/>
          <w:szCs w:val="28"/>
        </w:rPr>
        <w:t xml:space="preserve"> кинематография» </w:t>
      </w:r>
      <w:r w:rsidRPr="00DA56AC">
        <w:rPr>
          <w:rFonts w:ascii="Times New Roman" w:hAnsi="Times New Roman"/>
          <w:sz w:val="28"/>
          <w:szCs w:val="28"/>
        </w:rPr>
        <w:t xml:space="preserve">подраздела </w:t>
      </w:r>
      <w:r w:rsidRPr="00DA56AC">
        <w:rPr>
          <w:rFonts w:ascii="Times New Roman" w:hAnsi="Times New Roman"/>
          <w:b/>
          <w:sz w:val="28"/>
          <w:szCs w:val="28"/>
        </w:rPr>
        <w:t>0801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b/>
          <w:sz w:val="28"/>
          <w:szCs w:val="28"/>
        </w:rPr>
        <w:t xml:space="preserve">«Культура» </w:t>
      </w:r>
      <w:r w:rsidRPr="00DA56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запланированы в объеме </w:t>
      </w:r>
      <w:r>
        <w:rPr>
          <w:rFonts w:ascii="Times New Roman" w:hAnsi="Times New Roman"/>
          <w:sz w:val="28"/>
          <w:szCs w:val="28"/>
        </w:rPr>
        <w:t>7 300,0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выше</w:t>
      </w:r>
      <w:r w:rsidRPr="00DA56AC">
        <w:rPr>
          <w:rFonts w:ascii="Times New Roman" w:hAnsi="Times New Roman"/>
          <w:sz w:val="28"/>
          <w:szCs w:val="28"/>
        </w:rPr>
        <w:t xml:space="preserve"> ожидаемого исполнения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866,8 тыс. рублей. </w:t>
      </w:r>
    </w:p>
    <w:p w:rsidR="00A3021E" w:rsidRDefault="00A3021E" w:rsidP="00A30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Пояснительная записка к Проекту бюджета не содержит информации по запланированному на 2024 год фонду оплаты труда </w:t>
      </w:r>
      <w:r w:rsidRPr="00F9259C">
        <w:rPr>
          <w:rFonts w:ascii="Times New Roman" w:eastAsia="Times New Roman" w:hAnsi="Times New Roman"/>
          <w:sz w:val="28"/>
          <w:szCs w:val="28"/>
          <w:lang w:eastAsia="ru-RU"/>
        </w:rPr>
        <w:t>работникам органов местного самоуправления поселений, а также работникам учреждений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A56AC">
        <w:rPr>
          <w:rFonts w:ascii="Times New Roman" w:hAnsi="Times New Roman"/>
          <w:sz w:val="28"/>
          <w:szCs w:val="28"/>
        </w:rPr>
        <w:t>в полном</w:t>
      </w:r>
      <w:r>
        <w:rPr>
          <w:rFonts w:ascii="Times New Roman" w:hAnsi="Times New Roman"/>
          <w:sz w:val="28"/>
          <w:szCs w:val="28"/>
        </w:rPr>
        <w:t xml:space="preserve"> ли</w:t>
      </w:r>
      <w:r w:rsidRPr="00DA56AC">
        <w:rPr>
          <w:rFonts w:ascii="Times New Roman" w:hAnsi="Times New Roman"/>
          <w:sz w:val="28"/>
          <w:szCs w:val="28"/>
        </w:rPr>
        <w:t xml:space="preserve"> объеме предусматриваются бюджетные ассигнования на </w:t>
      </w:r>
      <w:r>
        <w:rPr>
          <w:rFonts w:ascii="Times New Roman" w:hAnsi="Times New Roman"/>
          <w:sz w:val="28"/>
          <w:szCs w:val="28"/>
        </w:rPr>
        <w:t xml:space="preserve">выплату </w:t>
      </w:r>
      <w:r w:rsidRPr="00DA56AC">
        <w:rPr>
          <w:rFonts w:ascii="Times New Roman" w:hAnsi="Times New Roman"/>
          <w:sz w:val="28"/>
          <w:szCs w:val="28"/>
        </w:rPr>
        <w:t>зарабо</w:t>
      </w:r>
      <w:r>
        <w:rPr>
          <w:rFonts w:ascii="Times New Roman" w:hAnsi="Times New Roman"/>
          <w:sz w:val="28"/>
          <w:szCs w:val="28"/>
        </w:rPr>
        <w:t>тной платы с начислениями на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 дополнительному запросу КСК УКМО предоставлена информация, что заработная плата с начислениями на нее предусмотрена в полном объеме, но без учета индексации с 01.10.2023 на 5,5% согласно Указам губернатора Иркутской области.</w:t>
      </w:r>
    </w:p>
    <w:p w:rsidR="00A3021E" w:rsidRDefault="00A3021E" w:rsidP="00A30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1E" w:rsidRDefault="00A3021E" w:rsidP="00A30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из бюджета </w:t>
      </w:r>
    </w:p>
    <w:p w:rsidR="00A3021E" w:rsidRDefault="00A3021E" w:rsidP="00A30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Усть-Кутского муниципального образования передаваемые</w:t>
      </w:r>
    </w:p>
    <w:p w:rsidR="00A3021E" w:rsidRDefault="00A3021E" w:rsidP="00A30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Ручейского МО</w:t>
      </w:r>
    </w:p>
    <w:p w:rsidR="00A3021E" w:rsidRDefault="00A3021E" w:rsidP="00A30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(средства районного бюджета)</w:t>
      </w:r>
    </w:p>
    <w:p w:rsidR="00A3021E" w:rsidRDefault="00A3021E" w:rsidP="00A302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48"/>
        <w:gridCol w:w="1308"/>
      </w:tblGrid>
      <w:tr w:rsidR="00A3021E" w:rsidTr="00E91E06">
        <w:tc>
          <w:tcPr>
            <w:tcW w:w="5949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4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308" w:type="dxa"/>
          </w:tcPr>
          <w:p w:rsidR="00A3021E" w:rsidRDefault="00A3021E" w:rsidP="00E91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A3021E" w:rsidTr="00E91E06">
        <w:tc>
          <w:tcPr>
            <w:tcW w:w="5949" w:type="dxa"/>
          </w:tcPr>
          <w:p w:rsidR="00A3021E" w:rsidRDefault="00A3021E" w:rsidP="00E91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за счет средств районного бюджета </w:t>
            </w:r>
          </w:p>
        </w:tc>
        <w:tc>
          <w:tcPr>
            <w:tcW w:w="1276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13 750,5</w:t>
            </w:r>
          </w:p>
        </w:tc>
        <w:tc>
          <w:tcPr>
            <w:tcW w:w="124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14 714,3</w:t>
            </w:r>
          </w:p>
        </w:tc>
        <w:tc>
          <w:tcPr>
            <w:tcW w:w="130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15 699,4</w:t>
            </w:r>
          </w:p>
        </w:tc>
      </w:tr>
      <w:tr w:rsidR="00A3021E" w:rsidTr="00E91E06">
        <w:tc>
          <w:tcPr>
            <w:tcW w:w="5949" w:type="dxa"/>
          </w:tcPr>
          <w:p w:rsidR="00A3021E" w:rsidRDefault="00A3021E" w:rsidP="00E91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за счет средств областного бюджета</w:t>
            </w:r>
          </w:p>
        </w:tc>
        <w:tc>
          <w:tcPr>
            <w:tcW w:w="1276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  <w:tc>
          <w:tcPr>
            <w:tcW w:w="124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408,4</w:t>
            </w:r>
          </w:p>
        </w:tc>
        <w:tc>
          <w:tcPr>
            <w:tcW w:w="130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</w:tr>
      <w:tr w:rsidR="00A3021E" w:rsidTr="00E91E06">
        <w:tc>
          <w:tcPr>
            <w:tcW w:w="5949" w:type="dxa"/>
          </w:tcPr>
          <w:p w:rsidR="00A3021E" w:rsidRDefault="00A3021E" w:rsidP="00E91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06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ыплат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6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заработной платы с начислениями на </w:t>
            </w:r>
            <w:r w:rsidRPr="00106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нее работникам органов местного самоуправления поселений, а также работникам учреждений культуры, находящихся в ведении органов местного самоуправления поселений и (или) оплату коммунальных услуг муниципальных учреждений</w:t>
            </w:r>
          </w:p>
        </w:tc>
        <w:tc>
          <w:tcPr>
            <w:tcW w:w="1276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8 300,0</w:t>
            </w:r>
          </w:p>
        </w:tc>
        <w:tc>
          <w:tcPr>
            <w:tcW w:w="124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8 300,0</w:t>
            </w:r>
          </w:p>
        </w:tc>
        <w:tc>
          <w:tcPr>
            <w:tcW w:w="130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8 300,0</w:t>
            </w:r>
          </w:p>
        </w:tc>
      </w:tr>
      <w:tr w:rsidR="00A3021E" w:rsidTr="00E91E06">
        <w:tc>
          <w:tcPr>
            <w:tcW w:w="5949" w:type="dxa"/>
          </w:tcPr>
          <w:p w:rsidR="00A3021E" w:rsidRDefault="00A3021E" w:rsidP="00E91E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21 573,5</w:t>
            </w:r>
          </w:p>
        </w:tc>
        <w:tc>
          <w:tcPr>
            <w:tcW w:w="124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23 422,7</w:t>
            </w:r>
          </w:p>
        </w:tc>
        <w:tc>
          <w:tcPr>
            <w:tcW w:w="1308" w:type="dxa"/>
          </w:tcPr>
          <w:p w:rsidR="00A3021E" w:rsidRDefault="00A3021E" w:rsidP="00E9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24 389,6</w:t>
            </w:r>
          </w:p>
        </w:tc>
      </w:tr>
    </w:tbl>
    <w:p w:rsidR="00A3021E" w:rsidRPr="00DA56AC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Дефицит местного бюджета, источники финансирования</w:t>
      </w:r>
    </w:p>
    <w:p w:rsidR="00A3021E" w:rsidRPr="00DA56AC" w:rsidRDefault="00A3021E" w:rsidP="00A30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дефицита бюджета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Проектом решения Думы предлагается утвердить</w:t>
      </w:r>
      <w:r w:rsidRPr="00DA56AC">
        <w:rPr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размер дефицита бюджета Ручейского муниципального образования 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134,3 тыс. рублей, в 2025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136,9</w:t>
      </w:r>
      <w:r w:rsidRPr="00DA56AC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141,8</w:t>
      </w:r>
      <w:r w:rsidRPr="00DA56AC">
        <w:rPr>
          <w:rFonts w:ascii="Times New Roman" w:hAnsi="Times New Roman"/>
          <w:sz w:val="28"/>
          <w:szCs w:val="28"/>
        </w:rPr>
        <w:t xml:space="preserve"> тыс. рублей с учетом соблюдения ограничений, установленных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92.1 Б</w:t>
      </w:r>
      <w:r>
        <w:rPr>
          <w:rFonts w:ascii="Times New Roman" w:hAnsi="Times New Roman"/>
          <w:sz w:val="28"/>
          <w:szCs w:val="28"/>
        </w:rPr>
        <w:t>К</w:t>
      </w:r>
      <w:r w:rsidRPr="00DA56AC">
        <w:rPr>
          <w:rFonts w:ascii="Times New Roman" w:hAnsi="Times New Roman"/>
          <w:sz w:val="28"/>
          <w:szCs w:val="28"/>
        </w:rPr>
        <w:t xml:space="preserve"> РФ или 3,5%. 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качестве основного источника внутреннего финансирования дефицита местного бюджета 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годы предполагается привлечение кредитов от кредитных организаций. </w:t>
      </w:r>
    </w:p>
    <w:p w:rsidR="00A3021E" w:rsidRPr="00DA56AC" w:rsidRDefault="00A3021E" w:rsidP="00A3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Статьей 1</w:t>
      </w:r>
      <w:r>
        <w:rPr>
          <w:rFonts w:ascii="Times New Roman" w:hAnsi="Times New Roman"/>
          <w:sz w:val="28"/>
          <w:szCs w:val="28"/>
        </w:rPr>
        <w:t>0</w:t>
      </w:r>
      <w:r w:rsidRPr="00DA56AC">
        <w:rPr>
          <w:rFonts w:ascii="Times New Roman" w:hAnsi="Times New Roman"/>
          <w:sz w:val="28"/>
          <w:szCs w:val="28"/>
        </w:rPr>
        <w:t xml:space="preserve"> Проекта решения Думы верхний предел муниципального долга Ручейского муниципального образования при установленных параметрах бюджета предлагается утвердить в размере: </w:t>
      </w:r>
    </w:p>
    <w:p w:rsidR="00A3021E" w:rsidRPr="00DA56AC" w:rsidRDefault="00A3021E" w:rsidP="00A3021E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134,3</w:t>
      </w:r>
      <w:r w:rsidRPr="00DA56AC">
        <w:rPr>
          <w:rFonts w:ascii="Times New Roman" w:hAnsi="Times New Roman"/>
          <w:sz w:val="28"/>
          <w:szCs w:val="28"/>
        </w:rPr>
        <w:t xml:space="preserve"> тыс. рублей;</w:t>
      </w:r>
    </w:p>
    <w:p w:rsidR="00A3021E" w:rsidRPr="00DA56AC" w:rsidRDefault="00A3021E" w:rsidP="00A3021E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271,2</w:t>
      </w:r>
      <w:r w:rsidRPr="00DA56AC">
        <w:rPr>
          <w:rFonts w:ascii="Times New Roman" w:hAnsi="Times New Roman"/>
          <w:sz w:val="28"/>
          <w:szCs w:val="28"/>
        </w:rPr>
        <w:t xml:space="preserve"> тыс. рублей;</w:t>
      </w:r>
    </w:p>
    <w:p w:rsidR="00A3021E" w:rsidRDefault="00A3021E" w:rsidP="00A3021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7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A56AC">
        <w:rPr>
          <w:rFonts w:ascii="Times New Roman" w:hAnsi="Times New Roman"/>
          <w:sz w:val="28"/>
          <w:szCs w:val="28"/>
        </w:rPr>
        <w:t xml:space="preserve">тыс. рублей. </w:t>
      </w:r>
    </w:p>
    <w:p w:rsidR="00A3021E" w:rsidRPr="00DA56AC" w:rsidRDefault="00A3021E" w:rsidP="00A3021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1E" w:rsidRPr="00DA56AC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1E" w:rsidRPr="001A15FF" w:rsidRDefault="00A3021E" w:rsidP="00A3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DA56AC">
        <w:rPr>
          <w:rFonts w:ascii="Times New Roman" w:hAnsi="Times New Roman"/>
          <w:sz w:val="28"/>
          <w:szCs w:val="28"/>
        </w:rPr>
        <w:t xml:space="preserve"> КСК УКМО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A56A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Н.С. Смирнова</w:t>
      </w:r>
    </w:p>
    <w:p w:rsidR="00A3021E" w:rsidRDefault="00A3021E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3021E" w:rsidSect="0031789F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6B" w:rsidRDefault="00C54F6B" w:rsidP="00AA2B2A">
      <w:pPr>
        <w:spacing w:after="0" w:line="240" w:lineRule="auto"/>
      </w:pPr>
      <w:r>
        <w:separator/>
      </w:r>
    </w:p>
  </w:endnote>
  <w:endnote w:type="continuationSeparator" w:id="0">
    <w:p w:rsidR="00C54F6B" w:rsidRDefault="00C54F6B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6B" w:rsidRDefault="00C54F6B" w:rsidP="00AA2B2A">
      <w:pPr>
        <w:spacing w:after="0" w:line="240" w:lineRule="auto"/>
      </w:pPr>
      <w:r>
        <w:separator/>
      </w:r>
    </w:p>
  </w:footnote>
  <w:footnote w:type="continuationSeparator" w:id="0">
    <w:p w:rsidR="00C54F6B" w:rsidRDefault="00C54F6B" w:rsidP="00AA2B2A">
      <w:pPr>
        <w:spacing w:after="0" w:line="240" w:lineRule="auto"/>
      </w:pPr>
      <w:r>
        <w:continuationSeparator/>
      </w:r>
    </w:p>
  </w:footnote>
  <w:footnote w:id="1">
    <w:p w:rsidR="00A3021E" w:rsidRPr="00851463" w:rsidRDefault="00A3021E" w:rsidP="00A3021E">
      <w:pPr>
        <w:pStyle w:val="ad"/>
        <w:rPr>
          <w:rFonts w:ascii="Times New Roman" w:hAnsi="Times New Roman"/>
        </w:rPr>
      </w:pPr>
      <w:r w:rsidRPr="00851463">
        <w:rPr>
          <w:rStyle w:val="af"/>
          <w:rFonts w:ascii="Times New Roman" w:hAnsi="Times New Roman"/>
        </w:rPr>
        <w:footnoteRef/>
      </w:r>
      <w:r w:rsidRPr="00851463">
        <w:rPr>
          <w:rFonts w:ascii="Times New Roman" w:hAnsi="Times New Roman"/>
        </w:rPr>
        <w:t xml:space="preserve"> Бюджетный кодекс Российской Федерации</w:t>
      </w:r>
    </w:p>
  </w:footnote>
  <w:footnote w:id="2">
    <w:p w:rsidR="00A3021E" w:rsidRPr="00610104" w:rsidRDefault="00A3021E" w:rsidP="00A3021E">
      <w:pPr>
        <w:pStyle w:val="ad"/>
        <w:rPr>
          <w:rFonts w:ascii="Times New Roman" w:hAnsi="Times New Roman"/>
        </w:rPr>
      </w:pPr>
      <w:r w:rsidRPr="00610104">
        <w:rPr>
          <w:rStyle w:val="af"/>
          <w:rFonts w:ascii="Times New Roman" w:hAnsi="Times New Roman"/>
        </w:rPr>
        <w:footnoteRef/>
      </w:r>
      <w:r w:rsidRPr="006101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 Думы</w:t>
      </w:r>
      <w:r w:rsidRPr="00610104">
        <w:rPr>
          <w:rFonts w:ascii="Times New Roman" w:hAnsi="Times New Roman"/>
        </w:rPr>
        <w:t xml:space="preserve"> Ручейского </w:t>
      </w:r>
      <w:r>
        <w:rPr>
          <w:rFonts w:ascii="Times New Roman" w:hAnsi="Times New Roman"/>
        </w:rPr>
        <w:t>СП</w:t>
      </w:r>
      <w:r w:rsidRPr="0061010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610104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610104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 г. №25</w:t>
      </w:r>
      <w:r w:rsidRPr="00610104">
        <w:rPr>
          <w:rFonts w:ascii="Times New Roman" w:hAnsi="Times New Roman"/>
        </w:rPr>
        <w:t xml:space="preserve"> «Об утверждении </w:t>
      </w:r>
      <w:r>
        <w:rPr>
          <w:rFonts w:ascii="Times New Roman" w:hAnsi="Times New Roman"/>
        </w:rPr>
        <w:t>Порядка, Методики расчета предоставления межбюджетных трансфертов из</w:t>
      </w:r>
      <w:r w:rsidRPr="00610104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а</w:t>
      </w:r>
      <w:r w:rsidRPr="00610104">
        <w:rPr>
          <w:rFonts w:ascii="Times New Roman" w:hAnsi="Times New Roman"/>
        </w:rPr>
        <w:t xml:space="preserve"> Ручейского муниципального образования</w:t>
      </w:r>
      <w:r>
        <w:rPr>
          <w:rFonts w:ascii="Times New Roman" w:hAnsi="Times New Roman"/>
        </w:rPr>
        <w:t xml:space="preserve"> и об утверждении Порядка возврата межбюджетных трансфертов</w:t>
      </w:r>
      <w:r w:rsidRPr="00610104">
        <w:rPr>
          <w:rFonts w:ascii="Times New Roman" w:hAnsi="Times New Roman"/>
        </w:rPr>
        <w:t>»</w:t>
      </w:r>
    </w:p>
  </w:footnote>
  <w:footnote w:id="3">
    <w:p w:rsidR="00A3021E" w:rsidRPr="005028BC" w:rsidRDefault="00A3021E" w:rsidP="00A3021E">
      <w:pPr>
        <w:pStyle w:val="ad"/>
        <w:rPr>
          <w:rFonts w:ascii="Times New Roman" w:hAnsi="Times New Roman"/>
        </w:rPr>
      </w:pPr>
      <w:r w:rsidRPr="005028BC">
        <w:rPr>
          <w:rStyle w:val="af"/>
          <w:rFonts w:ascii="Times New Roman" w:hAnsi="Times New Roman"/>
        </w:rPr>
        <w:footnoteRef/>
      </w:r>
      <w:r w:rsidRPr="005028BC">
        <w:rPr>
          <w:rFonts w:ascii="Times New Roman" w:hAnsi="Times New Roman"/>
        </w:rPr>
        <w:t xml:space="preserve"> Постановление администрации Ручейского МО от 09.03.2022 г. №16-п «Об утверждении Методики прогнозирования поступлений доходов в бюджет Ручейского муниципального образования»</w:t>
      </w:r>
    </w:p>
  </w:footnote>
  <w:footnote w:id="4">
    <w:p w:rsidR="00A3021E" w:rsidRPr="00FB0131" w:rsidRDefault="00A3021E" w:rsidP="00A3021E">
      <w:pPr>
        <w:pStyle w:val="ad"/>
        <w:rPr>
          <w:rFonts w:ascii="Times New Roman" w:hAnsi="Times New Roman"/>
        </w:rPr>
      </w:pPr>
      <w:r w:rsidRPr="00FB0131">
        <w:rPr>
          <w:rStyle w:val="af"/>
          <w:rFonts w:ascii="Times New Roman" w:hAnsi="Times New Roman"/>
        </w:rPr>
        <w:footnoteRef/>
      </w:r>
      <w:r w:rsidRPr="00FB0131">
        <w:rPr>
          <w:rFonts w:ascii="Times New Roman" w:hAnsi="Times New Roman"/>
        </w:rPr>
        <w:t xml:space="preserve"> далее – Прогноз, ПСЭР</w:t>
      </w:r>
      <w:r>
        <w:rPr>
          <w:rFonts w:ascii="Times New Roman" w:hAnsi="Times New Roman"/>
        </w:rPr>
        <w:t>;</w:t>
      </w:r>
    </w:p>
  </w:footnote>
  <w:footnote w:id="5">
    <w:p w:rsidR="00A3021E" w:rsidRPr="00FB0131" w:rsidRDefault="00A3021E" w:rsidP="00A3021E">
      <w:pPr>
        <w:pStyle w:val="ad"/>
        <w:rPr>
          <w:rFonts w:ascii="Times New Roman" w:hAnsi="Times New Roman"/>
        </w:rPr>
      </w:pPr>
      <w:r w:rsidRPr="00FB0131">
        <w:rPr>
          <w:rStyle w:val="af"/>
          <w:rFonts w:ascii="Times New Roman" w:hAnsi="Times New Roman"/>
        </w:rPr>
        <w:footnoteRef/>
      </w:r>
      <w:r w:rsidRPr="00FB0131">
        <w:rPr>
          <w:rFonts w:ascii="Times New Roman" w:hAnsi="Times New Roman"/>
        </w:rPr>
        <w:t xml:space="preserve"> Постановление администрации Ручейского сельского поселения от 02.11.2023 № 53-п</w:t>
      </w:r>
      <w:r w:rsidRPr="00FB0131">
        <w:rPr>
          <w:rFonts w:ascii="Times New Roman" w:hAnsi="Times New Roman"/>
          <w:i/>
        </w:rPr>
        <w:t xml:space="preserve"> </w:t>
      </w:r>
      <w:r w:rsidRPr="00FB0131">
        <w:rPr>
          <w:rFonts w:ascii="Times New Roman" w:hAnsi="Times New Roman"/>
        </w:rPr>
        <w:t>«О прогнозе социально-экономического развития Ручейского муниципального образования на 2024 и плановый период 2025 и 2026 годов»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2A3728" w:rsidRDefault="002A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1E">
          <w:rPr>
            <w:noProof/>
          </w:rPr>
          <w:t>14</w:t>
        </w:r>
        <w:r>
          <w:fldChar w:fldCharType="end"/>
        </w:r>
      </w:p>
    </w:sdtContent>
  </w:sdt>
  <w:p w:rsidR="002A3728" w:rsidRDefault="002A3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E5AFC"/>
    <w:multiLevelType w:val="multilevel"/>
    <w:tmpl w:val="97309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9872983"/>
    <w:multiLevelType w:val="hybridMultilevel"/>
    <w:tmpl w:val="124C731C"/>
    <w:lvl w:ilvl="0" w:tplc="74E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7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9">
    <w:nsid w:val="20EF341B"/>
    <w:multiLevelType w:val="hybridMultilevel"/>
    <w:tmpl w:val="070CC4DC"/>
    <w:lvl w:ilvl="0" w:tplc="9C80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296419FB"/>
    <w:multiLevelType w:val="hybridMultilevel"/>
    <w:tmpl w:val="80C6B30E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06D1EEA"/>
    <w:multiLevelType w:val="hybridMultilevel"/>
    <w:tmpl w:val="26D873B0"/>
    <w:lvl w:ilvl="0" w:tplc="28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322587"/>
    <w:multiLevelType w:val="hybridMultilevel"/>
    <w:tmpl w:val="88A8F776"/>
    <w:lvl w:ilvl="0" w:tplc="D3E6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4301"/>
    <w:multiLevelType w:val="hybridMultilevel"/>
    <w:tmpl w:val="A0E04ECE"/>
    <w:lvl w:ilvl="0" w:tplc="6F44F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D03C3"/>
    <w:multiLevelType w:val="hybridMultilevel"/>
    <w:tmpl w:val="B6C8ABE4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45D"/>
    <w:rsid w:val="000244F7"/>
    <w:rsid w:val="00024B2A"/>
    <w:rsid w:val="00024C3F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43A96"/>
    <w:rsid w:val="00044EC3"/>
    <w:rsid w:val="000518BB"/>
    <w:rsid w:val="00051CC2"/>
    <w:rsid w:val="00054081"/>
    <w:rsid w:val="0005671A"/>
    <w:rsid w:val="00056748"/>
    <w:rsid w:val="000567E4"/>
    <w:rsid w:val="00056A6D"/>
    <w:rsid w:val="0006294D"/>
    <w:rsid w:val="0006295C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3D7A"/>
    <w:rsid w:val="00074855"/>
    <w:rsid w:val="00080818"/>
    <w:rsid w:val="00084407"/>
    <w:rsid w:val="00091848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A7C05"/>
    <w:rsid w:val="000B280E"/>
    <w:rsid w:val="000B3DA5"/>
    <w:rsid w:val="000C4530"/>
    <w:rsid w:val="000C55DB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3114"/>
    <w:rsid w:val="000F48B7"/>
    <w:rsid w:val="000F4DB2"/>
    <w:rsid w:val="00100B3B"/>
    <w:rsid w:val="001017B2"/>
    <w:rsid w:val="0010543B"/>
    <w:rsid w:val="001112F1"/>
    <w:rsid w:val="00112BA5"/>
    <w:rsid w:val="0011304C"/>
    <w:rsid w:val="00113133"/>
    <w:rsid w:val="001131BC"/>
    <w:rsid w:val="001165A1"/>
    <w:rsid w:val="001166DA"/>
    <w:rsid w:val="00117276"/>
    <w:rsid w:val="00117A9F"/>
    <w:rsid w:val="00117EB1"/>
    <w:rsid w:val="00121990"/>
    <w:rsid w:val="00121EB7"/>
    <w:rsid w:val="00122A14"/>
    <w:rsid w:val="001244F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F65"/>
    <w:rsid w:val="00144D25"/>
    <w:rsid w:val="00144D85"/>
    <w:rsid w:val="001514C0"/>
    <w:rsid w:val="001518D4"/>
    <w:rsid w:val="00151C88"/>
    <w:rsid w:val="00151FE9"/>
    <w:rsid w:val="001555E1"/>
    <w:rsid w:val="001559D9"/>
    <w:rsid w:val="001563B3"/>
    <w:rsid w:val="00156A0C"/>
    <w:rsid w:val="0015768A"/>
    <w:rsid w:val="00157F9C"/>
    <w:rsid w:val="00161362"/>
    <w:rsid w:val="00164165"/>
    <w:rsid w:val="001648AF"/>
    <w:rsid w:val="001649B0"/>
    <w:rsid w:val="00166564"/>
    <w:rsid w:val="00171132"/>
    <w:rsid w:val="00175171"/>
    <w:rsid w:val="00176B48"/>
    <w:rsid w:val="001770A1"/>
    <w:rsid w:val="00177330"/>
    <w:rsid w:val="00180342"/>
    <w:rsid w:val="00180C69"/>
    <w:rsid w:val="00181E2C"/>
    <w:rsid w:val="001828C9"/>
    <w:rsid w:val="00183A88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364"/>
    <w:rsid w:val="001A1D47"/>
    <w:rsid w:val="001A2034"/>
    <w:rsid w:val="001A217D"/>
    <w:rsid w:val="001A2BF4"/>
    <w:rsid w:val="001A4AA4"/>
    <w:rsid w:val="001A5115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2E8"/>
    <w:rsid w:val="001B7D05"/>
    <w:rsid w:val="001C14B4"/>
    <w:rsid w:val="001C17C1"/>
    <w:rsid w:val="001C1868"/>
    <w:rsid w:val="001C240F"/>
    <w:rsid w:val="001C2B8D"/>
    <w:rsid w:val="001C3360"/>
    <w:rsid w:val="001C3C0B"/>
    <w:rsid w:val="001C4BC8"/>
    <w:rsid w:val="001C7897"/>
    <w:rsid w:val="001C7C8A"/>
    <w:rsid w:val="001D00EB"/>
    <w:rsid w:val="001D1F0B"/>
    <w:rsid w:val="001D5658"/>
    <w:rsid w:val="001D5933"/>
    <w:rsid w:val="001D6229"/>
    <w:rsid w:val="001E02AB"/>
    <w:rsid w:val="001E0946"/>
    <w:rsid w:val="001E3A4C"/>
    <w:rsid w:val="001E3EF3"/>
    <w:rsid w:val="001E5D24"/>
    <w:rsid w:val="001E6E23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0F8"/>
    <w:rsid w:val="0022556F"/>
    <w:rsid w:val="00225C72"/>
    <w:rsid w:val="002273E0"/>
    <w:rsid w:val="0023078E"/>
    <w:rsid w:val="00232582"/>
    <w:rsid w:val="00232D41"/>
    <w:rsid w:val="00235EA8"/>
    <w:rsid w:val="00236DB9"/>
    <w:rsid w:val="0024062B"/>
    <w:rsid w:val="002438BC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55912"/>
    <w:rsid w:val="00260B37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66DD"/>
    <w:rsid w:val="00276DA1"/>
    <w:rsid w:val="00276FFA"/>
    <w:rsid w:val="00277797"/>
    <w:rsid w:val="00281E3F"/>
    <w:rsid w:val="00286BC3"/>
    <w:rsid w:val="00286DE3"/>
    <w:rsid w:val="00287178"/>
    <w:rsid w:val="00287244"/>
    <w:rsid w:val="00287D09"/>
    <w:rsid w:val="00290287"/>
    <w:rsid w:val="00291915"/>
    <w:rsid w:val="00292B9C"/>
    <w:rsid w:val="0029364F"/>
    <w:rsid w:val="002945EE"/>
    <w:rsid w:val="00297D21"/>
    <w:rsid w:val="002A0A91"/>
    <w:rsid w:val="002A2E48"/>
    <w:rsid w:val="002A3728"/>
    <w:rsid w:val="002A37BF"/>
    <w:rsid w:val="002A4758"/>
    <w:rsid w:val="002A5DAF"/>
    <w:rsid w:val="002A5DD3"/>
    <w:rsid w:val="002A5EB7"/>
    <w:rsid w:val="002A68DC"/>
    <w:rsid w:val="002A7A01"/>
    <w:rsid w:val="002B06E5"/>
    <w:rsid w:val="002B0BAA"/>
    <w:rsid w:val="002B1E24"/>
    <w:rsid w:val="002B2853"/>
    <w:rsid w:val="002B37E0"/>
    <w:rsid w:val="002B531A"/>
    <w:rsid w:val="002C0944"/>
    <w:rsid w:val="002C2F4D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A9E"/>
    <w:rsid w:val="002F4D62"/>
    <w:rsid w:val="002F60CB"/>
    <w:rsid w:val="00300505"/>
    <w:rsid w:val="00301B9A"/>
    <w:rsid w:val="00302E66"/>
    <w:rsid w:val="003030FF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5C95"/>
    <w:rsid w:val="003162E8"/>
    <w:rsid w:val="0031789F"/>
    <w:rsid w:val="00320EF7"/>
    <w:rsid w:val="00322BE7"/>
    <w:rsid w:val="0032590F"/>
    <w:rsid w:val="00326287"/>
    <w:rsid w:val="00330F87"/>
    <w:rsid w:val="00331164"/>
    <w:rsid w:val="0033230F"/>
    <w:rsid w:val="003353D7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5867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967FD"/>
    <w:rsid w:val="003A1DE8"/>
    <w:rsid w:val="003A2390"/>
    <w:rsid w:val="003A2F03"/>
    <w:rsid w:val="003A2F74"/>
    <w:rsid w:val="003A4543"/>
    <w:rsid w:val="003A47F8"/>
    <w:rsid w:val="003A591F"/>
    <w:rsid w:val="003A606C"/>
    <w:rsid w:val="003A7A16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5705"/>
    <w:rsid w:val="003D57BC"/>
    <w:rsid w:val="003D6727"/>
    <w:rsid w:val="003D7036"/>
    <w:rsid w:val="003E0F54"/>
    <w:rsid w:val="003E2FAF"/>
    <w:rsid w:val="003E7049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490F"/>
    <w:rsid w:val="00415F45"/>
    <w:rsid w:val="00416A9A"/>
    <w:rsid w:val="004175AF"/>
    <w:rsid w:val="00417DA6"/>
    <w:rsid w:val="00420468"/>
    <w:rsid w:val="00420DF7"/>
    <w:rsid w:val="004224F7"/>
    <w:rsid w:val="00423928"/>
    <w:rsid w:val="004269B9"/>
    <w:rsid w:val="00427E7B"/>
    <w:rsid w:val="00431439"/>
    <w:rsid w:val="004333C3"/>
    <w:rsid w:val="004338CE"/>
    <w:rsid w:val="004349A4"/>
    <w:rsid w:val="00436A0C"/>
    <w:rsid w:val="00440EB8"/>
    <w:rsid w:val="00441C0F"/>
    <w:rsid w:val="00441CED"/>
    <w:rsid w:val="00441EDF"/>
    <w:rsid w:val="0044439D"/>
    <w:rsid w:val="004459D1"/>
    <w:rsid w:val="00446A71"/>
    <w:rsid w:val="00447276"/>
    <w:rsid w:val="0044742F"/>
    <w:rsid w:val="00450559"/>
    <w:rsid w:val="00451A51"/>
    <w:rsid w:val="004521B0"/>
    <w:rsid w:val="004525F6"/>
    <w:rsid w:val="004577A2"/>
    <w:rsid w:val="00460499"/>
    <w:rsid w:val="00461646"/>
    <w:rsid w:val="00463F86"/>
    <w:rsid w:val="0047266A"/>
    <w:rsid w:val="00472DF4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450C"/>
    <w:rsid w:val="004D70E3"/>
    <w:rsid w:val="004D7FBA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150"/>
    <w:rsid w:val="004F73D2"/>
    <w:rsid w:val="005008A9"/>
    <w:rsid w:val="00500923"/>
    <w:rsid w:val="00501BFB"/>
    <w:rsid w:val="00503A80"/>
    <w:rsid w:val="00504AE0"/>
    <w:rsid w:val="00505068"/>
    <w:rsid w:val="005056F7"/>
    <w:rsid w:val="00505CF8"/>
    <w:rsid w:val="00510094"/>
    <w:rsid w:val="0051065B"/>
    <w:rsid w:val="005106A6"/>
    <w:rsid w:val="00510D36"/>
    <w:rsid w:val="005144B6"/>
    <w:rsid w:val="0052016A"/>
    <w:rsid w:val="00521183"/>
    <w:rsid w:val="005241A2"/>
    <w:rsid w:val="005243F2"/>
    <w:rsid w:val="00524ED4"/>
    <w:rsid w:val="005271EF"/>
    <w:rsid w:val="0052758E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878"/>
    <w:rsid w:val="00544BB5"/>
    <w:rsid w:val="005451A3"/>
    <w:rsid w:val="005458B7"/>
    <w:rsid w:val="005458EC"/>
    <w:rsid w:val="005466C0"/>
    <w:rsid w:val="005468AD"/>
    <w:rsid w:val="00550A75"/>
    <w:rsid w:val="00550F39"/>
    <w:rsid w:val="00553571"/>
    <w:rsid w:val="00553602"/>
    <w:rsid w:val="00555F4A"/>
    <w:rsid w:val="00557B22"/>
    <w:rsid w:val="005610E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1807"/>
    <w:rsid w:val="005845F9"/>
    <w:rsid w:val="005854E4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3DD2"/>
    <w:rsid w:val="0059487A"/>
    <w:rsid w:val="00594FDA"/>
    <w:rsid w:val="005A0020"/>
    <w:rsid w:val="005A03AE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5415"/>
    <w:rsid w:val="005C742A"/>
    <w:rsid w:val="005D0A0E"/>
    <w:rsid w:val="005D0FDE"/>
    <w:rsid w:val="005D1FFF"/>
    <w:rsid w:val="005D484E"/>
    <w:rsid w:val="005D4BA5"/>
    <w:rsid w:val="005D5AD8"/>
    <w:rsid w:val="005D7CCB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1EDA"/>
    <w:rsid w:val="00602A7A"/>
    <w:rsid w:val="006041EF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B59"/>
    <w:rsid w:val="00625F71"/>
    <w:rsid w:val="00626B44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5658"/>
    <w:rsid w:val="00645B37"/>
    <w:rsid w:val="006471E3"/>
    <w:rsid w:val="00647AB0"/>
    <w:rsid w:val="00650A3C"/>
    <w:rsid w:val="006512A2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813"/>
    <w:rsid w:val="00673F12"/>
    <w:rsid w:val="00675D71"/>
    <w:rsid w:val="006800E0"/>
    <w:rsid w:val="0068156E"/>
    <w:rsid w:val="006822CD"/>
    <w:rsid w:val="006840E4"/>
    <w:rsid w:val="00687226"/>
    <w:rsid w:val="00687D4D"/>
    <w:rsid w:val="00692B34"/>
    <w:rsid w:val="00695C4A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14F4"/>
    <w:rsid w:val="006D18F5"/>
    <w:rsid w:val="006D1E99"/>
    <w:rsid w:val="006D28CF"/>
    <w:rsid w:val="006D5008"/>
    <w:rsid w:val="006D50E0"/>
    <w:rsid w:val="006D55ED"/>
    <w:rsid w:val="006E0209"/>
    <w:rsid w:val="006E27FB"/>
    <w:rsid w:val="006E4203"/>
    <w:rsid w:val="006E4F25"/>
    <w:rsid w:val="006E6069"/>
    <w:rsid w:val="006E7F22"/>
    <w:rsid w:val="006F3459"/>
    <w:rsid w:val="006F7E2F"/>
    <w:rsid w:val="006F7E8D"/>
    <w:rsid w:val="0070060E"/>
    <w:rsid w:val="00701274"/>
    <w:rsid w:val="00701420"/>
    <w:rsid w:val="00701DE9"/>
    <w:rsid w:val="00701E3E"/>
    <w:rsid w:val="00704061"/>
    <w:rsid w:val="00704D40"/>
    <w:rsid w:val="00704F06"/>
    <w:rsid w:val="00705803"/>
    <w:rsid w:val="00712DC3"/>
    <w:rsid w:val="00712FA3"/>
    <w:rsid w:val="00716F9D"/>
    <w:rsid w:val="00723272"/>
    <w:rsid w:val="0072399F"/>
    <w:rsid w:val="00723C8B"/>
    <w:rsid w:val="00726126"/>
    <w:rsid w:val="0073002E"/>
    <w:rsid w:val="0073018D"/>
    <w:rsid w:val="007303A6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47D4C"/>
    <w:rsid w:val="0075110A"/>
    <w:rsid w:val="00751BC3"/>
    <w:rsid w:val="007524DA"/>
    <w:rsid w:val="00756100"/>
    <w:rsid w:val="007566A9"/>
    <w:rsid w:val="00757661"/>
    <w:rsid w:val="0075777C"/>
    <w:rsid w:val="00763398"/>
    <w:rsid w:val="00764403"/>
    <w:rsid w:val="00764917"/>
    <w:rsid w:val="007726EE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0BA3"/>
    <w:rsid w:val="007A17B9"/>
    <w:rsid w:val="007A1D76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B6949"/>
    <w:rsid w:val="007C0DD4"/>
    <w:rsid w:val="007C24AC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3555"/>
    <w:rsid w:val="007D42CC"/>
    <w:rsid w:val="007D46EF"/>
    <w:rsid w:val="007D4C02"/>
    <w:rsid w:val="007D6D82"/>
    <w:rsid w:val="007E16B1"/>
    <w:rsid w:val="007E2793"/>
    <w:rsid w:val="007E386A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14F9B"/>
    <w:rsid w:val="00816B81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3532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57D2C"/>
    <w:rsid w:val="0086052E"/>
    <w:rsid w:val="008610F7"/>
    <w:rsid w:val="00863DE4"/>
    <w:rsid w:val="00865A88"/>
    <w:rsid w:val="00870974"/>
    <w:rsid w:val="00871C83"/>
    <w:rsid w:val="0087225A"/>
    <w:rsid w:val="00872315"/>
    <w:rsid w:val="00875A0B"/>
    <w:rsid w:val="00877B4E"/>
    <w:rsid w:val="008800DC"/>
    <w:rsid w:val="00880F65"/>
    <w:rsid w:val="008821D5"/>
    <w:rsid w:val="008849B9"/>
    <w:rsid w:val="00884B8D"/>
    <w:rsid w:val="0088548E"/>
    <w:rsid w:val="0088704F"/>
    <w:rsid w:val="008913F0"/>
    <w:rsid w:val="008922E4"/>
    <w:rsid w:val="0089319D"/>
    <w:rsid w:val="008A26AB"/>
    <w:rsid w:val="008A59EF"/>
    <w:rsid w:val="008B2207"/>
    <w:rsid w:val="008B2308"/>
    <w:rsid w:val="008C07BC"/>
    <w:rsid w:val="008C0F96"/>
    <w:rsid w:val="008C144A"/>
    <w:rsid w:val="008C2785"/>
    <w:rsid w:val="008C2AE6"/>
    <w:rsid w:val="008C5AAF"/>
    <w:rsid w:val="008C5ED3"/>
    <w:rsid w:val="008C6338"/>
    <w:rsid w:val="008D213B"/>
    <w:rsid w:val="008D272F"/>
    <w:rsid w:val="008D38F5"/>
    <w:rsid w:val="008D55F7"/>
    <w:rsid w:val="008D69D1"/>
    <w:rsid w:val="008E0202"/>
    <w:rsid w:val="008E2677"/>
    <w:rsid w:val="008E2ACC"/>
    <w:rsid w:val="008E364D"/>
    <w:rsid w:val="008E5374"/>
    <w:rsid w:val="008E760E"/>
    <w:rsid w:val="008F2F4F"/>
    <w:rsid w:val="008F4DE4"/>
    <w:rsid w:val="008F51EB"/>
    <w:rsid w:val="008F52DC"/>
    <w:rsid w:val="008F6907"/>
    <w:rsid w:val="009059C3"/>
    <w:rsid w:val="00906411"/>
    <w:rsid w:val="009074F3"/>
    <w:rsid w:val="009077A6"/>
    <w:rsid w:val="00912820"/>
    <w:rsid w:val="0091466E"/>
    <w:rsid w:val="00917BB4"/>
    <w:rsid w:val="00920961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6FED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5219"/>
    <w:rsid w:val="009573E7"/>
    <w:rsid w:val="00957D45"/>
    <w:rsid w:val="00960B6E"/>
    <w:rsid w:val="00960EF7"/>
    <w:rsid w:val="0096258B"/>
    <w:rsid w:val="0096318C"/>
    <w:rsid w:val="00964AE4"/>
    <w:rsid w:val="00965103"/>
    <w:rsid w:val="00967DB6"/>
    <w:rsid w:val="0097037A"/>
    <w:rsid w:val="00970585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3729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7078"/>
    <w:rsid w:val="009F1733"/>
    <w:rsid w:val="009F1F28"/>
    <w:rsid w:val="00A00777"/>
    <w:rsid w:val="00A00DBC"/>
    <w:rsid w:val="00A05A79"/>
    <w:rsid w:val="00A07172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2DCB"/>
    <w:rsid w:val="00A23BF4"/>
    <w:rsid w:val="00A24CCB"/>
    <w:rsid w:val="00A26FC0"/>
    <w:rsid w:val="00A272A6"/>
    <w:rsid w:val="00A2744C"/>
    <w:rsid w:val="00A3021E"/>
    <w:rsid w:val="00A30BBA"/>
    <w:rsid w:val="00A3157A"/>
    <w:rsid w:val="00A315DA"/>
    <w:rsid w:val="00A31A4F"/>
    <w:rsid w:val="00A31BEB"/>
    <w:rsid w:val="00A320D9"/>
    <w:rsid w:val="00A333C2"/>
    <w:rsid w:val="00A37CF7"/>
    <w:rsid w:val="00A42FD4"/>
    <w:rsid w:val="00A43526"/>
    <w:rsid w:val="00A465E1"/>
    <w:rsid w:val="00A4752E"/>
    <w:rsid w:val="00A5007A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47EB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2848"/>
    <w:rsid w:val="00AB53D1"/>
    <w:rsid w:val="00AB561D"/>
    <w:rsid w:val="00AB6401"/>
    <w:rsid w:val="00AB6BF8"/>
    <w:rsid w:val="00AB78AA"/>
    <w:rsid w:val="00AC2C0D"/>
    <w:rsid w:val="00AC37C5"/>
    <w:rsid w:val="00AD1FEA"/>
    <w:rsid w:val="00AD26FC"/>
    <w:rsid w:val="00AD3860"/>
    <w:rsid w:val="00AD3D81"/>
    <w:rsid w:val="00AD518B"/>
    <w:rsid w:val="00AD55ED"/>
    <w:rsid w:val="00AD5CEF"/>
    <w:rsid w:val="00AE09DF"/>
    <w:rsid w:val="00AE0C59"/>
    <w:rsid w:val="00AE26F2"/>
    <w:rsid w:val="00AE4DC6"/>
    <w:rsid w:val="00AE5168"/>
    <w:rsid w:val="00AE596C"/>
    <w:rsid w:val="00AE60C5"/>
    <w:rsid w:val="00AE781E"/>
    <w:rsid w:val="00AF2D62"/>
    <w:rsid w:val="00AF3014"/>
    <w:rsid w:val="00AF326B"/>
    <w:rsid w:val="00B02044"/>
    <w:rsid w:val="00B0254C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94D"/>
    <w:rsid w:val="00B15D9D"/>
    <w:rsid w:val="00B166EC"/>
    <w:rsid w:val="00B16AE7"/>
    <w:rsid w:val="00B20A4B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0D14"/>
    <w:rsid w:val="00B61C38"/>
    <w:rsid w:val="00B61D9E"/>
    <w:rsid w:val="00B6222B"/>
    <w:rsid w:val="00B62E5F"/>
    <w:rsid w:val="00B64F70"/>
    <w:rsid w:val="00B6677F"/>
    <w:rsid w:val="00B670F3"/>
    <w:rsid w:val="00B67C5B"/>
    <w:rsid w:val="00B71249"/>
    <w:rsid w:val="00B721CE"/>
    <w:rsid w:val="00B7292F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4D93"/>
    <w:rsid w:val="00B9598B"/>
    <w:rsid w:val="00B9717F"/>
    <w:rsid w:val="00BA2A4A"/>
    <w:rsid w:val="00BA2C2C"/>
    <w:rsid w:val="00BA6D74"/>
    <w:rsid w:val="00BB1062"/>
    <w:rsid w:val="00BB3701"/>
    <w:rsid w:val="00BB40AE"/>
    <w:rsid w:val="00BB46F6"/>
    <w:rsid w:val="00BB752E"/>
    <w:rsid w:val="00BC0BB9"/>
    <w:rsid w:val="00BC0D76"/>
    <w:rsid w:val="00BC13F1"/>
    <w:rsid w:val="00BC2D77"/>
    <w:rsid w:val="00BC2F59"/>
    <w:rsid w:val="00BC390B"/>
    <w:rsid w:val="00BC4248"/>
    <w:rsid w:val="00BC5CC5"/>
    <w:rsid w:val="00BC7DD4"/>
    <w:rsid w:val="00BD15FB"/>
    <w:rsid w:val="00BD2123"/>
    <w:rsid w:val="00BD32E7"/>
    <w:rsid w:val="00BE0109"/>
    <w:rsid w:val="00BE2C09"/>
    <w:rsid w:val="00BE3EE6"/>
    <w:rsid w:val="00BE4F07"/>
    <w:rsid w:val="00BE7B44"/>
    <w:rsid w:val="00BF04C2"/>
    <w:rsid w:val="00BF2854"/>
    <w:rsid w:val="00BF2D35"/>
    <w:rsid w:val="00BF58F6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165"/>
    <w:rsid w:val="00C31177"/>
    <w:rsid w:val="00C3301A"/>
    <w:rsid w:val="00C330F7"/>
    <w:rsid w:val="00C343FC"/>
    <w:rsid w:val="00C35525"/>
    <w:rsid w:val="00C376BD"/>
    <w:rsid w:val="00C37869"/>
    <w:rsid w:val="00C40FEA"/>
    <w:rsid w:val="00C41A33"/>
    <w:rsid w:val="00C4213E"/>
    <w:rsid w:val="00C467B7"/>
    <w:rsid w:val="00C46A83"/>
    <w:rsid w:val="00C46DF3"/>
    <w:rsid w:val="00C53A37"/>
    <w:rsid w:val="00C5449C"/>
    <w:rsid w:val="00C54F6B"/>
    <w:rsid w:val="00C55651"/>
    <w:rsid w:val="00C556F4"/>
    <w:rsid w:val="00C562C1"/>
    <w:rsid w:val="00C566DC"/>
    <w:rsid w:val="00C61281"/>
    <w:rsid w:val="00C63419"/>
    <w:rsid w:val="00C63A37"/>
    <w:rsid w:val="00C63EB9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7772F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6172"/>
    <w:rsid w:val="00C9697C"/>
    <w:rsid w:val="00C96F7C"/>
    <w:rsid w:val="00C97DD0"/>
    <w:rsid w:val="00CA22A7"/>
    <w:rsid w:val="00CA4A05"/>
    <w:rsid w:val="00CA4A48"/>
    <w:rsid w:val="00CA64F1"/>
    <w:rsid w:val="00CB1E9E"/>
    <w:rsid w:val="00CB20B1"/>
    <w:rsid w:val="00CB26B8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340"/>
    <w:rsid w:val="00CD4E0B"/>
    <w:rsid w:val="00CD61F7"/>
    <w:rsid w:val="00CD7A96"/>
    <w:rsid w:val="00CD7B23"/>
    <w:rsid w:val="00CD7B55"/>
    <w:rsid w:val="00CE11E3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3BBC"/>
    <w:rsid w:val="00D06E1D"/>
    <w:rsid w:val="00D06F26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5DDE"/>
    <w:rsid w:val="00D25F22"/>
    <w:rsid w:val="00D26CC5"/>
    <w:rsid w:val="00D30CE3"/>
    <w:rsid w:val="00D314BF"/>
    <w:rsid w:val="00D37339"/>
    <w:rsid w:val="00D404B7"/>
    <w:rsid w:val="00D40A20"/>
    <w:rsid w:val="00D42083"/>
    <w:rsid w:val="00D450FB"/>
    <w:rsid w:val="00D5117A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665"/>
    <w:rsid w:val="00D85916"/>
    <w:rsid w:val="00D85C3F"/>
    <w:rsid w:val="00D932BD"/>
    <w:rsid w:val="00D94447"/>
    <w:rsid w:val="00D952DC"/>
    <w:rsid w:val="00DA081B"/>
    <w:rsid w:val="00DA15D1"/>
    <w:rsid w:val="00DA23C6"/>
    <w:rsid w:val="00DA31DD"/>
    <w:rsid w:val="00DA34D4"/>
    <w:rsid w:val="00DA359A"/>
    <w:rsid w:val="00DA4BA1"/>
    <w:rsid w:val="00DA4CA2"/>
    <w:rsid w:val="00DA544A"/>
    <w:rsid w:val="00DB18A2"/>
    <w:rsid w:val="00DB18CB"/>
    <w:rsid w:val="00DB2E8F"/>
    <w:rsid w:val="00DB3E7B"/>
    <w:rsid w:val="00DB528C"/>
    <w:rsid w:val="00DB68C8"/>
    <w:rsid w:val="00DC231D"/>
    <w:rsid w:val="00DC6D25"/>
    <w:rsid w:val="00DD1061"/>
    <w:rsid w:val="00DD16CB"/>
    <w:rsid w:val="00DD1ADA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A96"/>
    <w:rsid w:val="00E12B27"/>
    <w:rsid w:val="00E20BBB"/>
    <w:rsid w:val="00E22634"/>
    <w:rsid w:val="00E2292B"/>
    <w:rsid w:val="00E23128"/>
    <w:rsid w:val="00E23C7B"/>
    <w:rsid w:val="00E25449"/>
    <w:rsid w:val="00E260E7"/>
    <w:rsid w:val="00E31C0A"/>
    <w:rsid w:val="00E34292"/>
    <w:rsid w:val="00E34475"/>
    <w:rsid w:val="00E36D1D"/>
    <w:rsid w:val="00E40B36"/>
    <w:rsid w:val="00E42261"/>
    <w:rsid w:val="00E42380"/>
    <w:rsid w:val="00E526CB"/>
    <w:rsid w:val="00E53A04"/>
    <w:rsid w:val="00E54789"/>
    <w:rsid w:val="00E5630C"/>
    <w:rsid w:val="00E57E1D"/>
    <w:rsid w:val="00E60D68"/>
    <w:rsid w:val="00E61331"/>
    <w:rsid w:val="00E61FE9"/>
    <w:rsid w:val="00E6331B"/>
    <w:rsid w:val="00E63BCD"/>
    <w:rsid w:val="00E641D8"/>
    <w:rsid w:val="00E644DF"/>
    <w:rsid w:val="00E661E5"/>
    <w:rsid w:val="00E66730"/>
    <w:rsid w:val="00E66855"/>
    <w:rsid w:val="00E6718F"/>
    <w:rsid w:val="00E67DFC"/>
    <w:rsid w:val="00E71D4F"/>
    <w:rsid w:val="00E7346B"/>
    <w:rsid w:val="00E75217"/>
    <w:rsid w:val="00E75346"/>
    <w:rsid w:val="00E77A17"/>
    <w:rsid w:val="00E80D93"/>
    <w:rsid w:val="00E821B5"/>
    <w:rsid w:val="00E82333"/>
    <w:rsid w:val="00E83A19"/>
    <w:rsid w:val="00E83D5A"/>
    <w:rsid w:val="00E840E2"/>
    <w:rsid w:val="00E84532"/>
    <w:rsid w:val="00E84D7F"/>
    <w:rsid w:val="00E862FE"/>
    <w:rsid w:val="00E86CCC"/>
    <w:rsid w:val="00E86E00"/>
    <w:rsid w:val="00E8794D"/>
    <w:rsid w:val="00E87E68"/>
    <w:rsid w:val="00E91539"/>
    <w:rsid w:val="00E91EA1"/>
    <w:rsid w:val="00E92371"/>
    <w:rsid w:val="00E97734"/>
    <w:rsid w:val="00EA03D6"/>
    <w:rsid w:val="00EA0C8C"/>
    <w:rsid w:val="00EA2944"/>
    <w:rsid w:val="00EA313A"/>
    <w:rsid w:val="00EA371D"/>
    <w:rsid w:val="00EA3B4C"/>
    <w:rsid w:val="00EB1AA4"/>
    <w:rsid w:val="00EB4E9C"/>
    <w:rsid w:val="00EC1CAE"/>
    <w:rsid w:val="00EC3C2B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E29"/>
    <w:rsid w:val="00ED5FFD"/>
    <w:rsid w:val="00EE69EC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17F86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177B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02BF"/>
    <w:rsid w:val="00F91C95"/>
    <w:rsid w:val="00F924B9"/>
    <w:rsid w:val="00F92E65"/>
    <w:rsid w:val="00F939A5"/>
    <w:rsid w:val="00F96F2C"/>
    <w:rsid w:val="00FA0850"/>
    <w:rsid w:val="00FA105F"/>
    <w:rsid w:val="00FA13A2"/>
    <w:rsid w:val="00FA18EA"/>
    <w:rsid w:val="00FA3E9E"/>
    <w:rsid w:val="00FA4717"/>
    <w:rsid w:val="00FA65AB"/>
    <w:rsid w:val="00FB1B9A"/>
    <w:rsid w:val="00FB1CC0"/>
    <w:rsid w:val="00FB214A"/>
    <w:rsid w:val="00FB2D18"/>
    <w:rsid w:val="00FC0F0C"/>
    <w:rsid w:val="00FC1263"/>
    <w:rsid w:val="00FC2069"/>
    <w:rsid w:val="00FC25FA"/>
    <w:rsid w:val="00FC50EF"/>
    <w:rsid w:val="00FC541A"/>
    <w:rsid w:val="00FC5E5C"/>
    <w:rsid w:val="00FD04C0"/>
    <w:rsid w:val="00FD1548"/>
    <w:rsid w:val="00FD28F0"/>
    <w:rsid w:val="00FD4080"/>
    <w:rsid w:val="00FD42CB"/>
    <w:rsid w:val="00FD504B"/>
    <w:rsid w:val="00FD5256"/>
    <w:rsid w:val="00FD55D7"/>
    <w:rsid w:val="00FD5AF6"/>
    <w:rsid w:val="00FE2CF6"/>
    <w:rsid w:val="00FE6AE7"/>
    <w:rsid w:val="00FE7751"/>
    <w:rsid w:val="00FF0449"/>
    <w:rsid w:val="00FF07C4"/>
    <w:rsid w:val="00FF1208"/>
    <w:rsid w:val="00FF421B"/>
    <w:rsid w:val="00FF52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9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249"/>
    <w:rPr>
      <w:rFonts w:cs="Times New Roman"/>
    </w:rPr>
  </w:style>
  <w:style w:type="paragraph" w:customStyle="1" w:styleId="uni">
    <w:name w:val="uni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712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1249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712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249"/>
    <w:rPr>
      <w:rFonts w:ascii="Calibri" w:eastAsia="Calibri" w:hAnsi="Calibri" w:cs="Times New Roman"/>
    </w:rPr>
  </w:style>
  <w:style w:type="paragraph" w:styleId="2">
    <w:name w:val="Body Text First Indent 2"/>
    <w:basedOn w:val="ab"/>
    <w:link w:val="20"/>
    <w:rsid w:val="00B71249"/>
    <w:pPr>
      <w:spacing w:line="240" w:lineRule="auto"/>
      <w:ind w:firstLine="21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Красная строка 2 Знак"/>
    <w:basedOn w:val="ac"/>
    <w:link w:val="2"/>
    <w:rsid w:val="00B712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F12"/>
  </w:style>
  <w:style w:type="table" w:customStyle="1" w:styleId="10">
    <w:name w:val="Сетка таблицы1"/>
    <w:basedOn w:val="a1"/>
    <w:next w:val="a4"/>
    <w:uiPriority w:val="99"/>
    <w:rsid w:val="00673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302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021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0BCC16C99F0707706384D31EDB42DF813DE1F8D7C273EF9D68491FDL7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4CF8-FA5C-4ECF-91A8-88FBB41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14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196</cp:revision>
  <cp:lastPrinted>2023-11-23T06:52:00Z</cp:lastPrinted>
  <dcterms:created xsi:type="dcterms:W3CDTF">2015-12-13T12:59:00Z</dcterms:created>
  <dcterms:modified xsi:type="dcterms:W3CDTF">2023-12-20T08:22:00Z</dcterms:modified>
</cp:coreProperties>
</file>