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06E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21F9CF8" wp14:editId="71D5BA1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0AB0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0E7ADF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8C877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0336B56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64D9247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7958444A" w14:textId="77777777" w:rsidR="00683228" w:rsidRPr="00B938E4" w:rsidRDefault="00AC2F9E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2F5223E9">
          <v:line id="shape_0" o:spid="_x0000_s1027" style="position:absolute;left:0;text-align:left;z-index:251657728" from="-1.6pt,5.5pt" to="508.35pt,5.5pt" strokeweight="1.06mm"/>
        </w:pict>
      </w:r>
    </w:p>
    <w:p w14:paraId="4A40CD08" w14:textId="79B0BE79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02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33069961" w14:textId="04CB5C4F" w:rsidR="00683228" w:rsidRPr="00B938E4" w:rsidRDefault="000E3D84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финансово-экономической экспертизы</w:t>
      </w:r>
      <w:r w:rsidR="00EC7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C7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79763677"/>
      <w:r w:rsidR="009C2967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Администрации Усть-Кутского муниципального образования «О внесении изменений в постановление Администрации Усть-Кутского муниципального образования от 12.09.2019 №378 «Об утверждении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bookmarkEnd w:id="0"/>
    </w:p>
    <w:p w14:paraId="1F36E02D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742F232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522574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3073C34F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4188464" w14:textId="2289F54A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9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3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29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64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43E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B9BD03D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7AD1" w14:textId="45E15C84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28717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финансово-экономической экспертизы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" w:name="_Hlk80106934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28717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C2967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Hlk80188443"/>
      <w:r w:rsidR="009C2967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Усть-Кутского муниципального образования «О внесении изменений в постановление Администрации Усть-Кутского муниципального образования от 12.09.2019 №378 «Об утверждении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bookmarkEnd w:id="1"/>
      <w:bookmarkEnd w:id="2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9C2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</w:t>
      </w:r>
      <w:r w:rsidR="0086254D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 программы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8D099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0E3D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27.04.2021 г. №35)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0E3D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 Плана работы КСК УКМО на 202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="000B61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распоряжением председателя КСК УКМО от 12.08.2021 г. №49 «О проведении экспертизы проекта постановления Администрации УКМО»,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8C488C8" w14:textId="756088DE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E3D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Администрацией 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(далее – </w:t>
      </w:r>
      <w:r w:rsidR="000E3D8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</w:t>
      </w:r>
      <w:r w:rsidR="004F34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аключения 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E3D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E3D8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DD8CF3E" w14:textId="77777777" w:rsidR="000B61F4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0B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6C026DD" w14:textId="2DF1C697" w:rsidR="008C63D9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законодательства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финансово-экономическая экспертиза Проекта </w:t>
      </w:r>
      <w:r w:rsidR="0028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B6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C5BF5" w14:textId="59787C7C" w:rsidR="000B61F4" w:rsidRDefault="000B61F4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</w:t>
      </w:r>
      <w:r w:rsidRPr="000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ожидаемых результатов целевых показателей (индикаторов) муниципальной программы;</w:t>
      </w:r>
    </w:p>
    <w:p w14:paraId="492E9344" w14:textId="652919F3" w:rsidR="009B1C79" w:rsidRPr="009B1C79" w:rsidRDefault="000B61F4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обоснованности заявленной потребности муниципальной программы в финансовых ресурсах, полноты использования возможностей привлечения средств иных бюджетов бюджетной системы Российской Федерации</w:t>
      </w:r>
      <w:r w:rsidR="0003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средств районного бюджета</w:t>
      </w:r>
      <w:r w:rsidR="009B1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63980" w14:textId="58F55CAA" w:rsidR="000B61F4" w:rsidRDefault="009B1C79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bookmarkStart w:id="3" w:name="_Hlk80108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принятия решений о разработке муниципальных программ Усть-Кутского муниципального образования, их </w:t>
      </w:r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реализации, оценки эффективности их реализации, утвержденного постановлением Администрации УКМО от 02.08.2019 г. №327-п </w:t>
      </w:r>
      <w:bookmarkEnd w:id="3"/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bookmarkStart w:id="4" w:name="_Hlk80007684"/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муниципальных программ</w:t>
      </w:r>
      <w:bookmarkEnd w:id="4"/>
      <w:r w:rsidR="00697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FCDB1" w14:textId="77777777"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2DE3D" w14:textId="497E2791"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4F3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34DE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Усть-Кутского муниципального образования «О внесении изменений в постановление Администрации Усть-Кутского муниципального образования от 12.09.2019 №378 «Об утверждении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EC3BA9" w14:textId="41CE5080" w:rsidR="004F34DE" w:rsidRPr="004F34DE" w:rsidRDefault="004F34D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с 13.08.2021 г. по 1</w:t>
      </w:r>
      <w:r w:rsidR="004B288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.08.2021 г.</w:t>
      </w:r>
    </w:p>
    <w:p w14:paraId="303482F5" w14:textId="486627DA"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697A3C">
        <w:rPr>
          <w:rFonts w:ascii="Times New Roman" w:eastAsia="Calibri" w:hAnsi="Times New Roman" w:cs="Times New Roman"/>
          <w:sz w:val="28"/>
          <w:szCs w:val="28"/>
        </w:rPr>
        <w:t>но-аналитического мероприятия</w:t>
      </w:r>
      <w:r w:rsidR="00433EBC">
        <w:rPr>
          <w:rFonts w:ascii="Times New Roman" w:eastAsia="Calibri" w:hAnsi="Times New Roman" w:cs="Times New Roman"/>
          <w:sz w:val="28"/>
          <w:szCs w:val="28"/>
        </w:rPr>
        <w:t xml:space="preserve"> установлено следующее.</w:t>
      </w:r>
    </w:p>
    <w:p w14:paraId="6DFE7C6A" w14:textId="4BC02C42" w:rsidR="00B26359" w:rsidRDefault="00B26359" w:rsidP="00B2635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0003804"/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 25 ч. 1 ст. 15 Федерального закона </w:t>
      </w:r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6359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234C">
        <w:rPr>
          <w:rFonts w:ascii="Times New Roman" w:eastAsia="Calibri" w:hAnsi="Times New Roman" w:cs="Times New Roman"/>
          <w:sz w:val="28"/>
          <w:szCs w:val="28"/>
        </w:rPr>
        <w:t xml:space="preserve">(далее – Закон №131-ФЗ)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вопросам местного значения муниципального района относится: </w:t>
      </w:r>
    </w:p>
    <w:p w14:paraId="4004B409" w14:textId="3FEDBEA4" w:rsidR="00B26359" w:rsidRDefault="00B26359" w:rsidP="00B2635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26359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B26359">
        <w:rPr>
          <w:rFonts w:ascii="Times New Roman" w:hAnsi="Times New Roman" w:cs="Times New Roman"/>
          <w:i/>
          <w:iCs/>
          <w:sz w:val="28"/>
          <w:szCs w:val="28"/>
        </w:rPr>
        <w:t>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Pr="00B26359">
        <w:rPr>
          <w:rFonts w:ascii="Times New Roman" w:hAnsi="Times New Roman" w:cs="Times New Roman"/>
          <w:sz w:val="28"/>
          <w:szCs w:val="28"/>
        </w:rPr>
        <w:t xml:space="preserve">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7012BFD3" w14:textId="0585C800" w:rsidR="00944906" w:rsidRPr="00944906" w:rsidRDefault="004F34DE" w:rsidP="0094490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0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 w:rsidR="00D52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ст. 179 Бюджетного кодекса РФ муниципальные программы </w:t>
      </w:r>
      <w:r w:rsidR="00944906" w:rsidRPr="00944906">
        <w:rPr>
          <w:rFonts w:ascii="Times New Roman" w:hAnsi="Times New Roman" w:cs="Times New Roman"/>
          <w:sz w:val="28"/>
          <w:szCs w:val="28"/>
        </w:rPr>
        <w:t>утверждаются администрацией муниципального образования.</w:t>
      </w:r>
    </w:p>
    <w:p w14:paraId="5ABC06D7" w14:textId="644DD73C" w:rsidR="00944906" w:rsidRDefault="00944906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BC43F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bookmarkStart w:id="6" w:name="_Hlk79851757"/>
      <w:r w:rsidR="00BC43F2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bookmarkEnd w:id="6"/>
      <w:r w:rsidR="00BC4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утвержденную постановлением Администрации УКМО от 12.09.2019 №378-п, изложить в новой редакции, допол</w:t>
      </w:r>
      <w:r w:rsidR="000A06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нив</w:t>
      </w:r>
      <w:r w:rsidR="00BC4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новой подпрограммой, предлагаемой к реализации начиная с 2022 года «Развитие личных подсобных хозяйств на </w:t>
      </w:r>
      <w:r w:rsidR="00BC4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территории </w:t>
      </w:r>
      <w:r w:rsidR="000A06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Усть-Кутского муниципального образования». </w:t>
      </w:r>
      <w:r w:rsidR="00B263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реализации </w:t>
      </w:r>
      <w:r w:rsidR="00862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</w:t>
      </w:r>
      <w:r w:rsidR="00B263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программы 2020 – 2024 годы.</w:t>
      </w:r>
    </w:p>
    <w:p w14:paraId="456FEE80" w14:textId="7DF5C83E" w:rsidR="00C7543E" w:rsidRPr="00C7543E" w:rsidRDefault="007F7D0A" w:rsidP="00C7543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КСК отмечает, что к проекту программы, направленному в КСК, </w:t>
      </w:r>
      <w:r w:rsidRPr="009A78F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не представлено Заключение комитета по экономике, социально-трудовым отношениям и ценам о целесообразности разработки программы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Кроме того,</w:t>
      </w:r>
      <w:r w:rsidR="002774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Start w:id="7" w:name="_Hlk80011000"/>
      <w:r w:rsidR="0027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 муниципальных программ</w:t>
      </w:r>
      <w:bookmarkEnd w:id="7"/>
      <w:r w:rsidR="0027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направление проектов в КСК УКМО для проведения экспертизы.</w:t>
      </w:r>
      <w:r w:rsidR="002774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читывая</w:t>
      </w:r>
      <w:r w:rsidR="002774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что к полномочиям внешне</w:t>
      </w:r>
      <w:r w:rsidR="00C754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муниципального финансового контроля относится, в том числе, </w:t>
      </w:r>
      <w:r w:rsidR="00C7543E" w:rsidRPr="00C754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 w:rsidR="00C754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КСК считает необходимым внести соответствующие изменения в</w:t>
      </w:r>
      <w:r w:rsidR="00C7543E" w:rsidRPr="00C7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муниципальных программ.</w:t>
      </w:r>
      <w:r w:rsidR="00C754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4C00183" w14:textId="721D702D" w:rsidR="007F7D0A" w:rsidRDefault="007F7D0A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1A75527" w14:textId="63C7323E" w:rsidR="00D14A6D" w:rsidRPr="00466737" w:rsidRDefault="00D14A6D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 В части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образовании».</w:t>
      </w:r>
    </w:p>
    <w:p w14:paraId="7EA5A39C" w14:textId="2850E995" w:rsidR="00B26359" w:rsidRDefault="00AF6202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части 3 муниципальной программы </w:t>
      </w:r>
      <w:r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основные цели и задачи программы:</w:t>
      </w:r>
    </w:p>
    <w:p w14:paraId="19D7F578" w14:textId="34F3BC17" w:rsidR="00AF6202" w:rsidRDefault="00AF6202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повышение объема производства продукции сельского хозяйства;</w:t>
      </w:r>
    </w:p>
    <w:p w14:paraId="05837CA0" w14:textId="000F8AFB" w:rsidR="00AF6202" w:rsidRDefault="00AF6202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расширение рынка сбыта сельскохозяйственной продукции от местных сельхозтоваропроизводителей;</w:t>
      </w:r>
    </w:p>
    <w:p w14:paraId="6F536672" w14:textId="340D24A9" w:rsidR="00AF6202" w:rsidRDefault="00AF6202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25122F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t>муниципальная поддержка</w:t>
      </w:r>
      <w:r w:rsidR="00D14A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развития сельскохозяйственного производства в </w:t>
      </w:r>
      <w:r w:rsidR="00D14A6D" w:rsidRPr="00D14A6D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t>личных подсобных хозяйствах сельских поселени</w:t>
      </w:r>
      <w:r w:rsidR="00D14A6D" w:rsidRPr="00D14A6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>ях</w:t>
      </w:r>
      <w:r w:rsidR="00D14A6D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, </w:t>
      </w:r>
      <w:r w:rsidR="00D14A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направленная на социальную защиту сельского населения, стимулирование развития личных подсобных хозяйств.</w:t>
      </w:r>
    </w:p>
    <w:p w14:paraId="77443850" w14:textId="3F7000BB" w:rsidR="001626CD" w:rsidRDefault="00142502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Перечнем мероприятий Программы предусматривается</w:t>
      </w:r>
      <w:r w:rsidR="00A5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46D8EE62" w14:textId="5590A149" w:rsidR="00A56F76" w:rsidRDefault="00A56F76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консультационная поддержка (без финансирования);</w:t>
      </w:r>
    </w:p>
    <w:p w14:paraId="0F257052" w14:textId="288844F6" w:rsidR="00A56F76" w:rsidRDefault="00A56F76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проведение районного конкурса пахарей (без финансирования);</w:t>
      </w:r>
    </w:p>
    <w:p w14:paraId="0ECA6A3C" w14:textId="14AA6ACC" w:rsidR="00A56F76" w:rsidRDefault="00A56F76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празднование профессионального праздника </w:t>
      </w:r>
      <w:r w:rsidR="009117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«Дня работника сельского хозяйства и перерабатывающей промышленности» </w:t>
      </w:r>
      <w:bookmarkStart w:id="8" w:name="_Hlk79855523"/>
      <w:r w:rsidR="009117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(ежегодное финансирование по 15,0 тыс. рублей);</w:t>
      </w:r>
    </w:p>
    <w:bookmarkEnd w:id="8"/>
    <w:p w14:paraId="2AACC2FB" w14:textId="6061CF9A" w:rsidR="007B4DE1" w:rsidRDefault="00911771" w:rsidP="007B4DE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B4D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 сельскохозяйственной ярмарки (ежегодное финансирование по 85,0 тыс. рублей).</w:t>
      </w:r>
    </w:p>
    <w:p w14:paraId="01EDB8EA" w14:textId="77777777" w:rsidR="00144903" w:rsidRDefault="007B4DE1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мнению КСК УКМО, такой малый перечень мероприятий не в полной мере </w:t>
      </w:r>
      <w:bookmarkStart w:id="9" w:name="_Hlk79858126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способствует развитию сельскохозяйственного производства, не стимулирует развитие личных подсобных хозяйств </w:t>
      </w:r>
      <w:bookmarkEnd w:id="9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ЛПХ). Как вариант, организация конкурсов как среди фермеров, так и среди ЛПХ, дачников с более значительным премированием.</w:t>
      </w:r>
    </w:p>
    <w:p w14:paraId="5429D880" w14:textId="4CBF4291" w:rsidR="00144903" w:rsidRDefault="00144903" w:rsidP="004426A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95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Проектом программы не предусматриваются мероприятия </w:t>
      </w:r>
      <w:r w:rsidRPr="00A95A6F">
        <w:rPr>
          <w:rFonts w:ascii="Times New Roman" w:hAnsi="Times New Roman" w:cs="Times New Roman"/>
          <w:sz w:val="28"/>
          <w:szCs w:val="28"/>
        </w:rPr>
        <w:t xml:space="preserve">по </w:t>
      </w:r>
      <w:r w:rsidR="004426A6" w:rsidRPr="00A95A6F">
        <w:rPr>
          <w:rFonts w:ascii="Times New Roman" w:hAnsi="Times New Roman" w:cs="Times New Roman"/>
          <w:sz w:val="28"/>
          <w:szCs w:val="28"/>
        </w:rPr>
        <w:t>содействию в получении</w:t>
      </w:r>
      <w:r w:rsidRPr="00A95A6F">
        <w:rPr>
          <w:rFonts w:ascii="Times New Roman" w:hAnsi="Times New Roman" w:cs="Times New Roman"/>
          <w:sz w:val="28"/>
          <w:szCs w:val="28"/>
        </w:rPr>
        <w:t xml:space="preserve"> социальных выплат на строительство </w:t>
      </w:r>
      <w:r w:rsidR="004426A6" w:rsidRPr="00A95A6F">
        <w:rPr>
          <w:rFonts w:ascii="Times New Roman" w:hAnsi="Times New Roman" w:cs="Times New Roman"/>
          <w:sz w:val="28"/>
          <w:szCs w:val="28"/>
        </w:rPr>
        <w:t xml:space="preserve">(приобретению) </w:t>
      </w:r>
      <w:r w:rsidRPr="00A95A6F">
        <w:rPr>
          <w:rFonts w:ascii="Times New Roman" w:hAnsi="Times New Roman" w:cs="Times New Roman"/>
          <w:sz w:val="28"/>
          <w:szCs w:val="28"/>
        </w:rPr>
        <w:t>жилья гражданам, проживающим в сельской местности,</w:t>
      </w:r>
      <w:r w:rsidR="004426A6" w:rsidRPr="00A95A6F">
        <w:rPr>
          <w:rFonts w:ascii="Times New Roman" w:hAnsi="Times New Roman" w:cs="Times New Roman"/>
          <w:sz w:val="28"/>
          <w:szCs w:val="28"/>
        </w:rPr>
        <w:t xml:space="preserve"> в том числе молодым семьям и молодым специалистам за счет средств федерального </w:t>
      </w:r>
      <w:r w:rsidR="00AA115D" w:rsidRPr="00A95A6F">
        <w:rPr>
          <w:rFonts w:ascii="Times New Roman" w:hAnsi="Times New Roman" w:cs="Times New Roman"/>
          <w:sz w:val="28"/>
          <w:szCs w:val="28"/>
        </w:rPr>
        <w:t>и областного бюджета,</w:t>
      </w:r>
      <w:r w:rsidRPr="00A95A6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Pr="00A95A6F">
        <w:rPr>
          <w:rFonts w:ascii="Times New Roman" w:hAnsi="Times New Roman" w:cs="Times New Roman"/>
          <w:sz w:val="28"/>
          <w:szCs w:val="28"/>
        </w:rPr>
        <w:lastRenderedPageBreak/>
        <w:t>содействия развитию растениеводства, предоставление субсидий на приобретение</w:t>
      </w:r>
      <w:r w:rsidR="004426A6" w:rsidRPr="00A95A6F">
        <w:rPr>
          <w:rFonts w:ascii="Times New Roman" w:hAnsi="Times New Roman" w:cs="Times New Roman"/>
          <w:sz w:val="28"/>
          <w:szCs w:val="28"/>
        </w:rPr>
        <w:t xml:space="preserve"> сельхозтехники</w:t>
      </w:r>
      <w:r w:rsidR="0084037D" w:rsidRPr="00A95A6F">
        <w:rPr>
          <w:rFonts w:ascii="Times New Roman" w:hAnsi="Times New Roman" w:cs="Times New Roman"/>
          <w:sz w:val="28"/>
          <w:szCs w:val="28"/>
        </w:rPr>
        <w:t xml:space="preserve">, что также не </w:t>
      </w:r>
      <w:r w:rsidR="0084037D" w:rsidRPr="00A95A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способствует развитию сельскохозяйственного производства, не стимулирует развитие ЛПХ.</w:t>
      </w:r>
    </w:p>
    <w:p w14:paraId="201C7ABE" w14:textId="2318AB4C" w:rsidR="002E740F" w:rsidRDefault="002E740F" w:rsidP="002E740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 2</w:t>
      </w:r>
      <w:r w:rsidR="00BB23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1 ст. 1</w:t>
      </w:r>
      <w:r w:rsidR="00BB23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26359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вопросам местного значения </w:t>
      </w:r>
      <w:r w:rsidR="00BB234C" w:rsidRPr="00F2247A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городского,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относится: </w:t>
      </w:r>
    </w:p>
    <w:p w14:paraId="73949A64" w14:textId="07CEA063" w:rsidR="00BB234C" w:rsidRDefault="002E740F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234C" w:rsidRPr="00BB234C">
        <w:rPr>
          <w:rFonts w:ascii="Times New Roman" w:eastAsia="Calibri" w:hAnsi="Times New Roman" w:cs="Times New Roman"/>
          <w:i/>
          <w:iCs/>
          <w:sz w:val="28"/>
          <w:szCs w:val="28"/>
        </w:rPr>
        <w:t>содействие в развитии сельскохозяйственного производства</w:t>
      </w:r>
      <w:r w:rsidR="00BB234C" w:rsidRPr="00BB234C">
        <w:rPr>
          <w:rFonts w:ascii="Times New Roman" w:eastAsia="Calibri" w:hAnsi="Times New Roman" w:cs="Times New Roman"/>
          <w:sz w:val="28"/>
          <w:szCs w:val="28"/>
        </w:rPr>
        <w:t>, создание условий для развития малого и среднего предпринимательства</w:t>
      </w:r>
      <w:r w:rsidR="00BB2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BB86E" w14:textId="5637ED7E" w:rsidR="00BB234C" w:rsidRDefault="00BB234C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не предусматривается </w:t>
      </w:r>
      <w:bookmarkStart w:id="10" w:name="_Hlk80096582"/>
      <w:r>
        <w:rPr>
          <w:rFonts w:ascii="Times New Roman" w:eastAsia="Calibri" w:hAnsi="Times New Roman" w:cs="Times New Roman"/>
          <w:sz w:val="28"/>
          <w:szCs w:val="28"/>
        </w:rPr>
        <w:t>взаимодействие муниципального района</w:t>
      </w:r>
      <w:r w:rsidR="00460BA2">
        <w:rPr>
          <w:rFonts w:ascii="Times New Roman" w:eastAsia="Calibri" w:hAnsi="Times New Roman" w:cs="Times New Roman"/>
          <w:sz w:val="28"/>
          <w:szCs w:val="28"/>
        </w:rPr>
        <w:t xml:space="preserve"> с администрациями поселений по разработке мероприятий, направленных на развитие сельскохозяйственного производства, что также не способствует развитию сельского хозяйства на территории муниципального района</w:t>
      </w:r>
      <w:bookmarkEnd w:id="10"/>
      <w:r w:rsidR="00460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485A17" w14:textId="598A9046" w:rsidR="00460BA2" w:rsidRDefault="00F15007" w:rsidP="006E3F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6C1A">
        <w:rPr>
          <w:rFonts w:ascii="Times New Roman" w:eastAsia="Calibri" w:hAnsi="Times New Roman" w:cs="Times New Roman"/>
          <w:sz w:val="28"/>
          <w:szCs w:val="28"/>
        </w:rPr>
        <w:t xml:space="preserve">Согласно п. 1.2. ч. 1 </w:t>
      </w:r>
      <w:r w:rsidR="00AC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муниципальных программ, программы формируются в целях реализации национальных проектов, стратегии социально-экономического развития УКМО.</w:t>
      </w:r>
      <w:r w:rsidR="0025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проект</w:t>
      </w:r>
      <w:r w:rsidR="0095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содержит каких-либо ссылок на реализацию национальных проектов на территории УКМО в части развития сельскохозяйственного производства.</w:t>
      </w:r>
    </w:p>
    <w:p w14:paraId="5038109D" w14:textId="590FF5F2" w:rsidR="00950B0F" w:rsidRDefault="00950B0F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F1BD3" w14:textId="69CCFD74" w:rsidR="00C7543E" w:rsidRPr="00466737" w:rsidRDefault="00C7543E" w:rsidP="00C7543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_Hlk80027951"/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* В части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Комплексное р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азвитие сельск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территорий 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bookmarkEnd w:id="11"/>
    <w:p w14:paraId="545B35D5" w14:textId="3D9EF268" w:rsidR="00C7543E" w:rsidRDefault="00C35861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в разделе «Основание для разработки программы», часть </w:t>
      </w:r>
      <w:bookmarkStart w:id="12" w:name="_Hlk80019509"/>
      <w:r>
        <w:rPr>
          <w:rFonts w:ascii="Times New Roman" w:eastAsia="Calibri" w:hAnsi="Times New Roman" w:cs="Times New Roman"/>
          <w:sz w:val="28"/>
          <w:szCs w:val="28"/>
        </w:rPr>
        <w:t>2 проекта «</w:t>
      </w:r>
      <w:r w:rsidR="0041466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одержание проблемы и обоснование необходимости ее решения программно-целевым методом</w:t>
      </w:r>
      <w:bookmarkEnd w:id="12"/>
      <w:r w:rsidR="00A41C9B">
        <w:rPr>
          <w:rFonts w:ascii="Times New Roman" w:eastAsia="Calibri" w:hAnsi="Times New Roman" w:cs="Times New Roman"/>
          <w:sz w:val="28"/>
          <w:szCs w:val="28"/>
        </w:rPr>
        <w:t>»</w:t>
      </w:r>
      <w:r w:rsidR="004146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3 проекта «Основные цели и задачи подпрограммы», содержат ссылку на распоряжение Правительства РФ от 30.11.2010 г. №2136-р «Об утверждении Концепции устойчивого развития сельских территорий Российской Федерации на период </w:t>
      </w:r>
      <w:r w:rsidRPr="00C3586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По мнению КСК УКМО ссылка на данный документ </w:t>
      </w:r>
      <w:r w:rsidR="0041466C">
        <w:rPr>
          <w:rFonts w:ascii="Times New Roman" w:eastAsia="Calibri" w:hAnsi="Times New Roman" w:cs="Times New Roman"/>
          <w:sz w:val="28"/>
          <w:szCs w:val="28"/>
        </w:rPr>
        <w:t xml:space="preserve">на данном этапе уже </w:t>
      </w:r>
      <w:r>
        <w:rPr>
          <w:rFonts w:ascii="Times New Roman" w:eastAsia="Calibri" w:hAnsi="Times New Roman" w:cs="Times New Roman"/>
          <w:sz w:val="28"/>
          <w:szCs w:val="28"/>
        </w:rPr>
        <w:t>не актуальна.</w:t>
      </w:r>
    </w:p>
    <w:p w14:paraId="32420B5E" w14:textId="179AAA29" w:rsidR="00C35861" w:rsidRDefault="0041466C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отмечено в части</w:t>
      </w:r>
      <w:r w:rsidR="00A41C9B">
        <w:rPr>
          <w:rFonts w:ascii="Times New Roman" w:eastAsia="Calibri" w:hAnsi="Times New Roman" w:cs="Times New Roman"/>
          <w:sz w:val="28"/>
          <w:szCs w:val="28"/>
        </w:rPr>
        <w:t xml:space="preserve"> 2 проекта «Содержание проблемы и обоснование необходимости ее решения программно-целевым методом» - решение проблемы, связанной с обеспечением инженерной инфраструктурой отдаленных населенных пунктов только силами и средствами бюджета УКМО, без консолидации мер государственной организационной и финансовой поддержки со стороны Правительства Иркутской области невозможно. Вместе с тем, </w:t>
      </w:r>
      <w:r w:rsidR="00A41C9B" w:rsidRPr="00965E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перечнем мероприятий подпрограммы не предусматривается какое-либо взаимодействие </w:t>
      </w:r>
      <w:r w:rsidR="00965EC0" w:rsidRPr="00965EC0">
        <w:rPr>
          <w:rFonts w:ascii="Times New Roman" w:eastAsia="Calibri" w:hAnsi="Times New Roman" w:cs="Times New Roman"/>
          <w:i/>
          <w:iCs/>
          <w:sz w:val="28"/>
          <w:szCs w:val="28"/>
        </w:rPr>
        <w:t>с областными структурами.</w:t>
      </w:r>
    </w:p>
    <w:p w14:paraId="237EA84F" w14:textId="532D3038" w:rsidR="00965EC0" w:rsidRDefault="00965EC0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Разделом 5 проекта подпрограммы «Механизм</w:t>
      </w:r>
      <w:r w:rsidR="00276F19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подпрограммы» исполнителем подпрограммы определен комитет по управлению муниципальным имуществом УКМО, который:</w:t>
      </w:r>
    </w:p>
    <w:p w14:paraId="079FBDD9" w14:textId="60FD8FCB" w:rsidR="00276F19" w:rsidRDefault="00276F19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 подготовку бюджетных заявок по объемам и условиям предоставления средств местного бюджета;</w:t>
      </w:r>
    </w:p>
    <w:p w14:paraId="7A82598D" w14:textId="05EA753D" w:rsidR="00276F19" w:rsidRDefault="00276F19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несет ответственность за обеспечение своевременной и качественной реализации Подпрограммы;</w:t>
      </w:r>
    </w:p>
    <w:p w14:paraId="0EA04CCD" w14:textId="4BFFBA75" w:rsidR="00276F19" w:rsidRDefault="00276F19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несет ответственность за эффективное использование средств, выделяемых на ее реализацию;</w:t>
      </w:r>
    </w:p>
    <w:p w14:paraId="2CA0F34C" w14:textId="42F01BA1" w:rsidR="00276F19" w:rsidRDefault="00276F19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предоставляет информацию для формирования</w:t>
      </w:r>
      <w:r w:rsidR="00161345">
        <w:rPr>
          <w:rFonts w:ascii="Times New Roman" w:eastAsia="Calibri" w:hAnsi="Times New Roman" w:cs="Times New Roman"/>
          <w:sz w:val="28"/>
          <w:szCs w:val="28"/>
        </w:rPr>
        <w:t xml:space="preserve"> отчета о реализации Подпрограммы комитету по жилищной, коммунальной инфраструктуре, транспорту и связи Администрации Усть-Кутского муниципального образования.</w:t>
      </w:r>
    </w:p>
    <w:p w14:paraId="337A0E19" w14:textId="5858B288" w:rsidR="00CF656E" w:rsidRDefault="00161345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КСК УКМО, исходя из функций КУМИ УКМО, определенных в Положении о КУМИ, комитет не может быть исполнителем данной подпрограммы</w:t>
      </w:r>
      <w:r w:rsidR="00CF65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того, главным распорядителем бюджетных средств</w:t>
      </w:r>
      <w:r w:rsidR="00CF656E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 подпрограммы в соответствии с решением Думы УКМО о бюджете </w:t>
      </w:r>
      <w:r w:rsidR="00CF656E" w:rsidRPr="006E3FD1">
        <w:rPr>
          <w:rFonts w:ascii="Times New Roman" w:eastAsia="Calibri" w:hAnsi="Times New Roman" w:cs="Times New Roman"/>
          <w:sz w:val="28"/>
          <w:szCs w:val="28"/>
        </w:rPr>
        <w:t>с</w:t>
      </w:r>
      <w:r w:rsidR="00CF656E" w:rsidRPr="006E3FD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CF656E" w:rsidRPr="006E3FD1">
        <w:rPr>
          <w:rFonts w:ascii="Times New Roman" w:eastAsia="Calibri" w:hAnsi="Times New Roman" w:cs="Times New Roman"/>
          <w:sz w:val="28"/>
          <w:szCs w:val="28"/>
        </w:rPr>
        <w:t>202</w:t>
      </w:r>
      <w:r w:rsidR="006E3FD1" w:rsidRPr="006E3FD1">
        <w:rPr>
          <w:rFonts w:ascii="Times New Roman" w:eastAsia="Calibri" w:hAnsi="Times New Roman" w:cs="Times New Roman"/>
          <w:sz w:val="28"/>
          <w:szCs w:val="28"/>
        </w:rPr>
        <w:t>1</w:t>
      </w:r>
      <w:r w:rsidR="00CF656E" w:rsidRPr="006E3FD1">
        <w:rPr>
          <w:rFonts w:ascii="Times New Roman" w:eastAsia="Calibri" w:hAnsi="Times New Roman" w:cs="Times New Roman"/>
          <w:sz w:val="28"/>
          <w:szCs w:val="28"/>
        </w:rPr>
        <w:t xml:space="preserve"> года определена Администрация УКМО.</w:t>
      </w:r>
      <w:r w:rsidR="00CF65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60C296" w14:textId="4C3FF26E" w:rsidR="00161345" w:rsidRDefault="00CF656E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Перечнем мероприятий подпрограммы с 2021 года предусматривается только 1 мероприятие – предоставление субсидии перевозчику</w:t>
      </w:r>
      <w:r w:rsidR="009029F6">
        <w:rPr>
          <w:rFonts w:ascii="Times New Roman" w:eastAsia="Calibri" w:hAnsi="Times New Roman" w:cs="Times New Roman"/>
          <w:sz w:val="28"/>
          <w:szCs w:val="28"/>
        </w:rPr>
        <w:t xml:space="preserve"> в целях возмещения части затрат за выполнение работ</w:t>
      </w:r>
      <w:r w:rsidR="00851FE8">
        <w:rPr>
          <w:rFonts w:ascii="Times New Roman" w:eastAsia="Calibri" w:hAnsi="Times New Roman" w:cs="Times New Roman"/>
          <w:sz w:val="28"/>
          <w:szCs w:val="28"/>
        </w:rPr>
        <w:t>, связанных с осуществлением регулярных пассажирских перевозок внутренним водным транспортом. На выполнение данного мероп</w:t>
      </w:r>
      <w:r w:rsidR="00331A86">
        <w:rPr>
          <w:rFonts w:ascii="Times New Roman" w:eastAsia="Calibri" w:hAnsi="Times New Roman" w:cs="Times New Roman"/>
          <w:sz w:val="28"/>
          <w:szCs w:val="28"/>
        </w:rPr>
        <w:t xml:space="preserve">риятия ежегодно предусматривается по 960,0 тыс. рублей, т. е. без учета индексации (удорожания) услуги, без учета какого-либо развития в обеспечении транспортной доступности отдаленных территорий УКМО. </w:t>
      </w:r>
    </w:p>
    <w:p w14:paraId="4C44433F" w14:textId="325A24F7" w:rsidR="00331A86" w:rsidRDefault="00331A86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Частью 3 подпрограммы «Основные цели и задачи подпрограммы»</w:t>
      </w:r>
      <w:r w:rsidR="00033CC7">
        <w:rPr>
          <w:rFonts w:ascii="Times New Roman" w:eastAsia="Calibri" w:hAnsi="Times New Roman" w:cs="Times New Roman"/>
          <w:sz w:val="28"/>
          <w:szCs w:val="28"/>
        </w:rPr>
        <w:t xml:space="preserve"> определено, что целевым индикатором Подпрограммы является </w:t>
      </w:r>
      <w:r w:rsidR="00033CC7" w:rsidRPr="00033CC7">
        <w:rPr>
          <w:rFonts w:ascii="Times New Roman" w:eastAsia="Calibri" w:hAnsi="Times New Roman" w:cs="Times New Roman"/>
          <w:i/>
          <w:iCs/>
          <w:sz w:val="28"/>
          <w:szCs w:val="28"/>
        </w:rPr>
        <w:t>прирост</w:t>
      </w:r>
      <w:r w:rsidR="00033CC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033CC7">
        <w:rPr>
          <w:rFonts w:ascii="Times New Roman" w:eastAsia="Calibri" w:hAnsi="Times New Roman" w:cs="Times New Roman"/>
          <w:sz w:val="28"/>
          <w:szCs w:val="28"/>
        </w:rPr>
        <w:t xml:space="preserve">количества населенных пунктов, находящихся в труднодоступных местностях, обеспеченных транспортным сообщением, в том числе с использованием транспортных средств на воздушных подушках, что </w:t>
      </w:r>
      <w:r w:rsidR="00033CC7">
        <w:rPr>
          <w:rFonts w:ascii="Times New Roman" w:eastAsia="Calibri" w:hAnsi="Times New Roman" w:cs="Times New Roman"/>
          <w:i/>
          <w:iCs/>
          <w:sz w:val="28"/>
          <w:szCs w:val="28"/>
        </w:rPr>
        <w:t>не согласуется с перечнем мероприятий подпрограммы.</w:t>
      </w:r>
    </w:p>
    <w:p w14:paraId="4748D9D1" w14:textId="4B4FF3A8" w:rsidR="00033CC7" w:rsidRDefault="00973010" w:rsidP="00BB234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Оценкой эффективности </w:t>
      </w:r>
      <w:r w:rsidRPr="00973010">
        <w:rPr>
          <w:rFonts w:ascii="Times New Roman" w:eastAsia="Calibri" w:hAnsi="Times New Roman" w:cs="Times New Roman"/>
          <w:i/>
          <w:iCs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подпрограммы (ч</w:t>
      </w:r>
      <w:r w:rsidR="00033CC7">
        <w:rPr>
          <w:rFonts w:ascii="Times New Roman" w:eastAsia="Calibri" w:hAnsi="Times New Roman" w:cs="Times New Roman"/>
          <w:sz w:val="28"/>
          <w:szCs w:val="28"/>
        </w:rPr>
        <w:t>асть 6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«Оценка эффективности реализации») предусматривается прирост количества сельских населенных пунктов</w:t>
      </w:r>
      <w:r w:rsidR="008754E7">
        <w:rPr>
          <w:rFonts w:ascii="Times New Roman" w:eastAsia="Calibri" w:hAnsi="Times New Roman" w:cs="Times New Roman"/>
          <w:sz w:val="28"/>
          <w:szCs w:val="28"/>
        </w:rPr>
        <w:t xml:space="preserve"> - 5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обеспеченных постоянной круглогодичной связью с сетью автомобильных дорог общего пользования, по дорогам с твердым покрытием. </w:t>
      </w:r>
      <w:r w:rsidR="008754E7">
        <w:rPr>
          <w:rFonts w:ascii="Times New Roman" w:eastAsia="Calibri" w:hAnsi="Times New Roman" w:cs="Times New Roman"/>
          <w:sz w:val="28"/>
          <w:szCs w:val="28"/>
        </w:rPr>
        <w:t xml:space="preserve">При этом в подпрограмме не указано – с какими поселениями будет обеспечена транспортная доступность.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</w:t>
      </w:r>
      <w:r w:rsidRPr="00E25397">
        <w:rPr>
          <w:rFonts w:ascii="Times New Roman" w:eastAsia="Calibri" w:hAnsi="Times New Roman" w:cs="Times New Roman"/>
          <w:i/>
          <w:iCs/>
          <w:sz w:val="28"/>
          <w:szCs w:val="28"/>
        </w:rPr>
        <w:t>в предлагаемом проекте программы не предусматриваются мероприятия по обустройству автомобильных дорог</w:t>
      </w:r>
      <w:r w:rsidR="00E25397">
        <w:rPr>
          <w:rFonts w:ascii="Times New Roman" w:eastAsia="Calibri" w:hAnsi="Times New Roman" w:cs="Times New Roman"/>
          <w:sz w:val="28"/>
          <w:szCs w:val="28"/>
        </w:rPr>
        <w:t>, соответственно данный пункт оценки некорректен. Кроме того, некорректно и количество (всего) населенных пунктов, обеспеченных транспортным сообщением с использованием судов на воздушной подушке – 15 (п. 2 оценки), исходя из того, что ежегодно предусматривается 3 населенных пункта (Омолой, Боярск, Орлинга).</w:t>
      </w:r>
    </w:p>
    <w:p w14:paraId="5A47CBFA" w14:textId="3D70F302" w:rsidR="00E25397" w:rsidRDefault="00E25397" w:rsidP="008E201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КСК УКМО, предлагаемый проект подпрограммы не способствует развитию сельскохозяйственного производства</w:t>
      </w:r>
      <w:r w:rsidR="008E201C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п. 6 ч. 1 ст. 15 Закона №131-ФЗ, </w:t>
      </w:r>
      <w:r w:rsidR="008E201C" w:rsidRPr="008E201C">
        <w:rPr>
          <w:rFonts w:ascii="Times New Roman" w:eastAsia="Calibri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8E201C">
        <w:rPr>
          <w:rFonts w:ascii="Times New Roman" w:eastAsia="Calibri" w:hAnsi="Times New Roman" w:cs="Times New Roman"/>
          <w:sz w:val="28"/>
          <w:szCs w:val="28"/>
        </w:rPr>
        <w:t xml:space="preserve"> относится к полномочиям УКМО. Решение данного вопросы </w:t>
      </w:r>
      <w:r w:rsidR="008754E7">
        <w:rPr>
          <w:rFonts w:ascii="Times New Roman" w:eastAsia="Calibri" w:hAnsi="Times New Roman" w:cs="Times New Roman"/>
          <w:sz w:val="28"/>
          <w:szCs w:val="28"/>
        </w:rPr>
        <w:t>возможно и без программных мероприятий, как, например, организация пассажирских перевозок</w:t>
      </w:r>
      <w:r w:rsidR="008E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4E7">
        <w:rPr>
          <w:rFonts w:ascii="Times New Roman" w:eastAsia="Calibri" w:hAnsi="Times New Roman" w:cs="Times New Roman"/>
          <w:sz w:val="28"/>
          <w:szCs w:val="28"/>
        </w:rPr>
        <w:t>по маршруту Усть-Кут – Казарки.</w:t>
      </w:r>
    </w:p>
    <w:p w14:paraId="31275B6F" w14:textId="5543469A" w:rsidR="008754E7" w:rsidRDefault="008754E7" w:rsidP="008E201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D76AE" w14:textId="27D361DB" w:rsidR="008754E7" w:rsidRDefault="008754E7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* В части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Развитие личных подсобных хозяйств на территории 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46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p w14:paraId="735DE7A5" w14:textId="59BB90DE" w:rsidR="008754E7" w:rsidRDefault="008754E7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Данная подпрограмма является вновь разработанной, предлагаемой к реализации</w:t>
      </w:r>
      <w:r w:rsidR="00C82A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начиная с 2022 года.</w:t>
      </w:r>
    </w:p>
    <w:p w14:paraId="0BB186D8" w14:textId="2A1E44D8" w:rsidR="00C82AE7" w:rsidRDefault="00C82AE7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Актуальность данной подпрограммы имеет место быть. Исходя из национальной стратегии </w:t>
      </w:r>
      <w:r w:rsidRPr="00E726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развития сельского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есть необходимость решения проблемы развития ЛПХ на территории УКМО программным методом</w:t>
      </w:r>
      <w:r w:rsidR="00E33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E02705B" w14:textId="47976FB5" w:rsidR="00E333AF" w:rsidRDefault="00666A73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паспорте проекта подпрограммы определены задачи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программы </w:t>
      </w:r>
      <w:r w:rsidR="006F7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надо</w:t>
      </w:r>
      <w:r w:rsidR="006F7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="006F770A" w:rsidRPr="00F224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подпрограммы</w:t>
      </w:r>
      <w:r w:rsidR="006F7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– обеспечение и развитие устойчивого функционирования личных подсобных хозяйств и повышение их доходности </w:t>
      </w:r>
      <w:r w:rsidR="006F770A" w:rsidRPr="00C4515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за счет увеличения поголовья крупного рогатого скота</w:t>
      </w:r>
      <w:r w:rsidR="006F77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повышение жизненного уровня населения в условиях рыночной экономики и многообразия форм собственности, защита </w:t>
      </w:r>
      <w:r w:rsidR="00E726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экономических интересов владельцев личных подсобных хозяйств (физических лиц)</w:t>
      </w:r>
      <w:r w:rsidR="00C45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Таким образом, </w:t>
      </w:r>
      <w:r w:rsidR="00C4515D" w:rsidRPr="00BC5DA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изначально подпрограммой предусматривается узкая направленность развития ЛПХ</w:t>
      </w:r>
      <w:r w:rsidR="00C45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Вместе с тем, разделом 3 подпрограммы «Основные цели и задачи </w:t>
      </w:r>
      <w:r w:rsidR="00F410A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программы</w:t>
      </w:r>
      <w:r w:rsidR="00F410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указана основная цель: муниципальная поддержка развития личных подсобных хозяйств в поселениях Усть-Кутского района</w:t>
      </w:r>
      <w:r w:rsidR="00BC5D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F410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направленная на социальную защиту населения, стимулирование развития и увеличения количества личных подсобных хозяйств и </w:t>
      </w:r>
      <w:r w:rsidR="00F410AB" w:rsidRPr="00F410A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поголовья домашних животных</w:t>
      </w:r>
      <w:r w:rsidR="00F410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содержащихся в них, обеспечение населения натуральными и качественными продуктами питания. </w:t>
      </w:r>
      <w:r w:rsidR="008727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отмечено в подпрограмме, поставленная цель может быть достигнута в том числе путем обеспечения устойчивого развития личных подсобных хозяйств, повышение их доходности, сохранение и </w:t>
      </w:r>
      <w:r w:rsidR="00872711" w:rsidRPr="00F03D3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увеличение</w:t>
      </w:r>
      <w:r w:rsidR="00F03D34" w:rsidRPr="00F03D3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численности поголовья КРС и дойного стада</w:t>
      </w:r>
      <w:r w:rsidR="00F03D3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="00F03D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т. е. также </w:t>
      </w:r>
      <w:r w:rsidR="00F03D34" w:rsidRPr="00BC5DA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просматривается узкая направленность поддержки ЛПХ</w:t>
      </w:r>
      <w:r w:rsidR="00F03D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5EC484" w14:textId="25FCF00F" w:rsidR="00F03D34" w:rsidRDefault="00DB7FF9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Одной из задач для достижения цели подпрограммы указано приоритетное </w:t>
      </w:r>
      <w:r w:rsidRPr="00BC5DA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обеспечение населения земельными участками для ведения ЛПХ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F2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мероприятия для решения этой проблемы проектом подпрограммы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предусматрива</w:t>
      </w:r>
      <w:r w:rsidR="00F2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тся.</w:t>
      </w:r>
    </w:p>
    <w:p w14:paraId="5394087D" w14:textId="62F8FF74" w:rsidR="00702267" w:rsidRDefault="003556AC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Планом мероприятий подпрограммы также </w:t>
      </w:r>
      <w:r w:rsidRPr="00BC5DA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не предусматривается </w:t>
      </w:r>
      <w:r w:rsidRPr="00BC5DA5">
        <w:rPr>
          <w:rFonts w:ascii="Times New Roman" w:eastAsia="Calibri" w:hAnsi="Times New Roman" w:cs="Times New Roman"/>
          <w:i/>
          <w:iCs/>
          <w:sz w:val="28"/>
          <w:szCs w:val="28"/>
        </w:rPr>
        <w:t>взаимодействие муниципального района с администрациями поселений по разработке мероприятий, направленных на развитие ЛПХ</w:t>
      </w:r>
      <w:r>
        <w:rPr>
          <w:rFonts w:ascii="Times New Roman" w:eastAsia="Calibri" w:hAnsi="Times New Roman" w:cs="Times New Roman"/>
          <w:sz w:val="28"/>
          <w:szCs w:val="28"/>
        </w:rPr>
        <w:t>, что, как отмечалось выше, не способствует развитию сельскохозяйственного производства на территории муниципального района. Не включены в план мероприятий популяризация ведения ЛПХ через местные средства массовой информации, оказание содействия владельцам ЛПХ в получении финансовой поддержки из федерального и областного бюджета</w:t>
      </w:r>
      <w:r w:rsidR="00C346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658">
        <w:rPr>
          <w:rFonts w:ascii="Times New Roman" w:eastAsia="Calibri" w:hAnsi="Times New Roman" w:cs="Times New Roman"/>
          <w:sz w:val="28"/>
          <w:szCs w:val="28"/>
        </w:rPr>
        <w:t>Также не предусматриваются мероприятия по развитию на территории УКМО растениеводства.</w:t>
      </w:r>
    </w:p>
    <w:p w14:paraId="0B8DA334" w14:textId="6ED953B0" w:rsidR="00DB7FF9" w:rsidRDefault="00DB7FF9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мероприятий содержит только одно мероприятие: финансовая поддержка граждан, ведущих личное подсобное хозяйство с объемом финансирования:</w:t>
      </w:r>
    </w:p>
    <w:p w14:paraId="226C79E1" w14:textId="34F1B257" w:rsidR="00DB7FF9" w:rsidRDefault="00DB7FF9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год – 1 600,0 тыс. рублей;</w:t>
      </w:r>
    </w:p>
    <w:p w14:paraId="3753934A" w14:textId="10CB9C91" w:rsidR="00DB7FF9" w:rsidRDefault="00DB7FF9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год – 1 950,0 тыс. рублей;</w:t>
      </w:r>
    </w:p>
    <w:p w14:paraId="37C2329F" w14:textId="7DC4E6C7" w:rsidR="00DB7FF9" w:rsidRDefault="00DB7FF9" w:rsidP="008754E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2024 год -  2 450,0 тыс. рублей.</w:t>
      </w:r>
    </w:p>
    <w:p w14:paraId="725AD583" w14:textId="77777777" w:rsidR="00887186" w:rsidRDefault="008D099D" w:rsidP="008871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КСК УКМО отмечает, что </w:t>
      </w:r>
      <w:bookmarkStart w:id="13" w:name="_Hlk80182816"/>
      <w:r w:rsidR="00887186" w:rsidRPr="0088718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БК</w:t>
      </w:r>
      <w:r w:rsidRPr="0088718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РФ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8718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не предусмотрена финансовая поддержка граждан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bookmarkEnd w:id="13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ст. 74.1 </w:t>
      </w:r>
      <w:r w:rsid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БК РФ в бюджете могут предусматриваться </w:t>
      </w:r>
      <w:r w:rsidRPr="008D0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</w:t>
      </w:r>
      <w:r w:rsid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8D0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ассигнования на </w:t>
      </w:r>
      <w:r w:rsidRPr="00F2247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предоставление социальных выплат гражданам</w:t>
      </w:r>
      <w:r w:rsidRPr="008D0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либо на приобретение товаров, работ, услуг в пользу граждан для обеспечения их нужд в целях реализации мер социальной поддержки населения</w:t>
      </w:r>
      <w:r w:rsid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21BA6B3B" w14:textId="77777777" w:rsidR="00887186" w:rsidRDefault="00887186" w:rsidP="008871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со ст. 78 БК РФ в бюджетах могут предусматриваться бюджетные ассигнования на </w:t>
      </w:r>
      <w:r w:rsidRPr="00F2247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предоставление субсидий</w:t>
      </w:r>
      <w:r w:rsidRP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которые</w:t>
      </w:r>
      <w:r w:rsidRP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0BB09A70" w14:textId="1C884E89" w:rsidR="00887186" w:rsidRDefault="00887186" w:rsidP="008871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71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46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Механизмом реализации подпрограммы (ч. 5 подпрограммы) предусматривается предоставление финансовой поддержки гражданам, ведущих ЛПХ, предназначенной </w:t>
      </w:r>
      <w:r w:rsidR="00C34658" w:rsidRPr="0031198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на приобретение кормов и оплату ветеринарных услуг</w:t>
      </w:r>
      <w:r w:rsidR="00C346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размере 10,0 тыс. рублей на одну </w:t>
      </w:r>
      <w:r w:rsidR="00C34658" w:rsidRPr="00C3465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дойную</w:t>
      </w:r>
      <w:r w:rsidR="00C346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4658" w:rsidRPr="00AD7246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корову</w:t>
      </w:r>
      <w:r w:rsidR="00C346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год (2 раза в год по 5,0 тыс. рублей.</w:t>
      </w:r>
      <w:r w:rsidR="003119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D72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этом указано, что для получения финансовой поддержки необходимо подать заявку, паспорт животного с фотографией, номер чипа (бирки) и справку</w:t>
      </w:r>
      <w:r w:rsidR="00457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прохождении животными планового забора крови и вакцинации, т.е. финансовая поддержка предоставляется без подтверждающих документов расходов </w:t>
      </w:r>
      <w:r w:rsidR="00457ABC" w:rsidRPr="00457AB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на приобретение кормов и оплату ветеринарных услуг</w:t>
      </w:r>
      <w:r w:rsidR="00457AB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14:paraId="10F8623B" w14:textId="072129C7" w:rsidR="008754E7" w:rsidRDefault="00457ABC" w:rsidP="001A287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6 подпрограммы «Оценка эффективности реализации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программы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в п. 1, графе «всего»</w:t>
      </w:r>
      <w:r w:rsidR="001A28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результат реализации мероприятий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некорректно указано поголовье дойного стада</w:t>
      </w:r>
      <w:r w:rsidR="00A37B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600 голов, тогда как всего указано наличие поголовья дойного </w:t>
      </w:r>
      <w:r w:rsidR="001655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стада к 2024 году - 245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B16CC24" w14:textId="61C5E2DB" w:rsidR="00FA51EE" w:rsidRPr="001A2879" w:rsidRDefault="00FA51EE" w:rsidP="001A287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мнению КСК УКМО предлагаемый проект подпрограммы не обеспечит </w:t>
      </w:r>
      <w:r w:rsidR="00C458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эффективность и результативность расходования бюджетных средств в соответствии со ст. 34 БК РФ</w:t>
      </w:r>
      <w:r w:rsidR="00DA05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достижении целей развития </w:t>
      </w:r>
      <w:r w:rsidR="003909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ЛПХ</w:t>
      </w:r>
      <w:r w:rsidR="00C458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5AEA4A3C" w14:textId="389EE0A2" w:rsidR="008C49FC" w:rsidRPr="008C49FC" w:rsidRDefault="001A2879" w:rsidP="008C49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A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06B2" w:rsidRPr="00A95A6F">
        <w:rPr>
          <w:rFonts w:ascii="Times New Roman" w:hAnsi="Times New Roman" w:cs="Times New Roman"/>
          <w:sz w:val="28"/>
          <w:szCs w:val="28"/>
        </w:rPr>
        <w:t xml:space="preserve">т. 179 </w:t>
      </w:r>
      <w:r w:rsidRPr="00A95A6F">
        <w:rPr>
          <w:rFonts w:ascii="Times New Roman" w:hAnsi="Times New Roman" w:cs="Times New Roman"/>
          <w:sz w:val="28"/>
          <w:szCs w:val="28"/>
        </w:rPr>
        <w:t xml:space="preserve">БК РФ </w:t>
      </w:r>
      <w:r w:rsidR="008C49FC" w:rsidRPr="00A95A6F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="00460BA2">
        <w:rPr>
          <w:rFonts w:ascii="Times New Roman" w:hAnsi="Times New Roman" w:cs="Times New Roman"/>
          <w:sz w:val="28"/>
          <w:szCs w:val="28"/>
        </w:rPr>
        <w:t xml:space="preserve"> </w:t>
      </w:r>
      <w:r w:rsidR="00880F79">
        <w:rPr>
          <w:rFonts w:ascii="Times New Roman" w:hAnsi="Times New Roman" w:cs="Times New Roman"/>
          <w:sz w:val="28"/>
          <w:szCs w:val="28"/>
        </w:rPr>
        <w:t>Такой Порядок в муниципальном образовании не разработан. Порядок разработки муниципальных программ также не предусматривает направление проектов вновь принимаемых</w:t>
      </w:r>
      <w:r w:rsidR="009A78FB">
        <w:rPr>
          <w:rFonts w:ascii="Times New Roman" w:hAnsi="Times New Roman" w:cs="Times New Roman"/>
          <w:sz w:val="28"/>
          <w:szCs w:val="28"/>
        </w:rPr>
        <w:t xml:space="preserve"> программ, подпрограмм в Думу УКМО на рассмотрение депутатскими комиссиями.</w:t>
      </w:r>
    </w:p>
    <w:p w14:paraId="71992764" w14:textId="77777777" w:rsidR="008C49FC" w:rsidRPr="008C49FC" w:rsidRDefault="008C49FC" w:rsidP="003B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CA3FE9" w14:textId="21C63102" w:rsidR="00130D65" w:rsidRDefault="003D707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4B52E1A8" w14:textId="77777777" w:rsidR="003D707E" w:rsidRPr="003D707E" w:rsidRDefault="003D707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EE7D2" w14:textId="0488128B" w:rsidR="00F516A3" w:rsidRDefault="00F516A3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экспертиза проекта программы показала недостаточность запланированных мероприятий для достижения целей программы – повышение объема производства</w:t>
      </w:r>
      <w:r w:rsidR="005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сельского хозяйства на территории УКМО.</w:t>
      </w:r>
    </w:p>
    <w:p w14:paraId="733C145E" w14:textId="76D2A673" w:rsidR="005E6152" w:rsidRDefault="005E6152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 четкой взаимосвязи между программными мероприятиями и целевыми показателями программы.</w:t>
      </w:r>
    </w:p>
    <w:p w14:paraId="0A487E38" w14:textId="281B091B" w:rsidR="005E6152" w:rsidRDefault="005E6152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программы в большей мере имеют узкую направленность развития сельскохозяйственного производства – увеличение поголовья дойного стада при значительных финансовых затратах средств районного бюджета.</w:t>
      </w:r>
      <w:r w:rsidR="004B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мероприятия, направленные на увеличение производства продукции растениеводства</w:t>
      </w:r>
      <w:r w:rsidR="00FC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ЛПХ, </w:t>
      </w:r>
      <w:r w:rsidR="00FC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коз, овец, свиней.</w:t>
      </w:r>
    </w:p>
    <w:p w14:paraId="7F47E6D1" w14:textId="7A9C0F08" w:rsidR="005E6152" w:rsidRDefault="005E6152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малой степени запланированы мероприятия по привлечению средств других бюджетов бюджетной системы</w:t>
      </w:r>
      <w:r w:rsidR="004B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сельскохозяйственной отрасли на территории УКМО.</w:t>
      </w:r>
    </w:p>
    <w:p w14:paraId="4FF9A4D6" w14:textId="7999682A" w:rsidR="004B288B" w:rsidRDefault="004B288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программы не содержит мероприятия по взаимодействию администрации района и администраций поселений по решени</w:t>
      </w:r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увеличения продукции сельского хозяйства на территории района.</w:t>
      </w:r>
    </w:p>
    <w:p w14:paraId="70AE7D9D" w14:textId="77BD7A62" w:rsidR="00BC5DA5" w:rsidRDefault="00BC5DA5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676E8" w:rsidRPr="000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не предусматриваются мероприятия </w:t>
      </w:r>
      <w:r w:rsidR="000A1D06" w:rsidRPr="000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приоритетному обеспечению населения земельными участками для ведения ЛПХ, тогда как в решении задач для достижения поставленной цели эта проблема обозначена</w:t>
      </w:r>
      <w:r w:rsidRPr="000A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C2EB0" w14:textId="249F277D" w:rsidR="00BC5DA5" w:rsidRPr="00C34693" w:rsidRDefault="00BC5DA5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A1D06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 рамках подпрограммы транспортной доступности населения, с приобретением судна на воздушной подушке, плавучих причалов проблема транспортной доступности была решена. Предлагаемый проект подпрограммы т</w:t>
      </w:r>
      <w:r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</w:t>
      </w:r>
      <w:r w:rsidR="000A1D06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 w:rsidR="000A1D06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содержит никаких мероприятий, направленных на дальнейшее развитие данной </w:t>
      </w:r>
      <w:r w:rsidR="00C34693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предоставление субсидии</w:t>
      </w:r>
      <w:r w:rsidR="000A1D06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693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пассажирские перевозки водным транспортом </w:t>
      </w:r>
      <w:r w:rsidR="000A1D06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C34693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34693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34693" w:rsidRP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ы (как, например, перевозки по маршруту Усть-Кут – Казарки).</w:t>
      </w:r>
    </w:p>
    <w:p w14:paraId="749877E8" w14:textId="5A49EC6E" w:rsidR="003733DD" w:rsidRDefault="003733DD" w:rsidP="00B25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1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проектом постановления </w:t>
      </w:r>
      <w:r w:rsidR="00B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программных мероприятий является </w:t>
      </w:r>
      <w:r w:rsidR="00B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сельскому хозяйству</w:t>
      </w:r>
      <w:r w:rsidR="00B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природным ресурсам и экологии Администрации УКМО, тогда как </w:t>
      </w:r>
      <w:r w:rsidR="00F1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постановления от 12.09.2019 г. №378-п главным распорядителем бюджетных средств муниципальной программы определен </w:t>
      </w:r>
      <w:r w:rsidR="00F16531" w:rsidRPr="00F16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Комитет по природным ресурсам и сельскому хозяйству</w:t>
      </w:r>
      <w:r w:rsidR="00F1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Усть-Кутского муниципального образования</w:t>
      </w:r>
      <w:r w:rsidR="00B2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93811" w14:textId="3ED9C1DF" w:rsidR="007C7C2E" w:rsidRPr="00C64077" w:rsidRDefault="007C7C2E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03F10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с целью решения </w:t>
      </w:r>
      <w:r w:rsidR="00B25D59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кадров в сельской местности не предусматриваются мероприятия по ведению профориентационной работ</w:t>
      </w:r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D59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СОШ </w:t>
      </w:r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D59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Подымахино</w:t>
      </w:r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СОШ п. Верхнемарково,</w:t>
      </w:r>
      <w:r w:rsidR="00B25D59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гробизнесобразовани</w:t>
      </w:r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</w:t>
      </w: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="002B4D2E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5E8"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2D6DB1" w14:textId="2663162B" w:rsidR="00A37B36" w:rsidRDefault="00A37B36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F3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 проектом программы мероприятия по содействию в получении новых видов государственной поддержки</w:t>
      </w:r>
      <w:r w:rsid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2021 года – социальный контракт на ведение ЛПХ, гранты «</w:t>
      </w:r>
      <w:proofErr w:type="spellStart"/>
      <w:r w:rsid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C640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32B09A4" w14:textId="5E470710" w:rsidR="002B4D2E" w:rsidRDefault="002B4D2E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B4D2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B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не предусмотрена финансовая поддержка граждан.</w:t>
      </w:r>
      <w:r w:rsidR="00FF3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получения финансовой поддержки получатель согласно Налогового кодекса РФ обязан будет уплатить налог на доходы физических лиц.</w:t>
      </w:r>
    </w:p>
    <w:p w14:paraId="5E6C991F" w14:textId="7A3B34E2" w:rsidR="003D707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3D707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3D707E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D707E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Усть-Кутского муниципального образования «О внесении изменений в постановление Администрации Усть-Кутского муниципального образования от 12.09.2019 №378 «Об утверждении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</w:t>
      </w:r>
      <w:r w:rsidR="003D70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7E" w:rsidRPr="003733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рекомендует к утверждению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без устранения выше </w:t>
      </w:r>
      <w:r w:rsidR="0037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3D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замечаний.</w:t>
      </w:r>
    </w:p>
    <w:p w14:paraId="027BC43B" w14:textId="77777777" w:rsidR="003D707E" w:rsidRDefault="003D707E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EE2F4" w14:textId="19D361E4" w:rsidR="002C2101" w:rsidRDefault="003D707E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Предложения:</w:t>
      </w:r>
    </w:p>
    <w:p w14:paraId="322C96CC" w14:textId="77777777" w:rsidR="00F516A3" w:rsidRDefault="0078653E" w:rsidP="00F5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1. Администрации УКМО внести изменения в </w:t>
      </w:r>
      <w:r w:rsidR="00E70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утвержденный постановлением Администрации УКМО от 02.08.2019 г. №327-п, предусматривающие направление</w:t>
      </w:r>
      <w:r w:rsidR="00E70E26" w:rsidRPr="00E7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вновь разрабатываемых муниципальных, проектов о </w:t>
      </w:r>
      <w:r w:rsidR="00E70E26" w:rsidRPr="00A95A6F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</w:t>
      </w:r>
      <w:r w:rsidR="00E70E26">
        <w:rPr>
          <w:rFonts w:ascii="Times New Roman" w:hAnsi="Times New Roman" w:cs="Times New Roman"/>
          <w:sz w:val="28"/>
          <w:szCs w:val="28"/>
        </w:rPr>
        <w:t xml:space="preserve"> </w:t>
      </w:r>
      <w:r w:rsidR="00F516A3">
        <w:rPr>
          <w:rFonts w:ascii="Times New Roman" w:hAnsi="Times New Roman" w:cs="Times New Roman"/>
          <w:sz w:val="28"/>
          <w:szCs w:val="28"/>
        </w:rPr>
        <w:t>в КСК УКМО</w:t>
      </w:r>
      <w:r w:rsidR="00F516A3" w:rsidRPr="00F5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</w:t>
      </w:r>
      <w:r w:rsidR="00F516A3">
        <w:rPr>
          <w:rFonts w:ascii="Times New Roman" w:hAnsi="Times New Roman" w:cs="Times New Roman"/>
          <w:sz w:val="28"/>
          <w:szCs w:val="28"/>
        </w:rPr>
        <w:t>, Думу УКМО.</w:t>
      </w:r>
    </w:p>
    <w:p w14:paraId="3CB993A2" w14:textId="5200F663" w:rsidR="00E70E26" w:rsidRDefault="00F516A3" w:rsidP="00F5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Учитывая социальную значимость проекта муниципальной программы, значительные финансовые средства на реализацию мероприятий подпрограммы по развитию ЛПХ, н</w:t>
      </w:r>
      <w:r w:rsidR="00E70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проект 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УКМО для обсуждения комиссиями Думы.</w:t>
      </w:r>
    </w:p>
    <w:p w14:paraId="07F56DEE" w14:textId="5EAE8FD0" w:rsidR="00033D12" w:rsidRPr="0048265C" w:rsidRDefault="0048265C" w:rsidP="0048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Думе УКМО в</w:t>
      </w:r>
      <w:r w:rsidRPr="0048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2 статьи 179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нормативный правовой акт о </w:t>
      </w:r>
      <w:r w:rsidRPr="0048265C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Думой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P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Pr="0048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предложений о внесении изменений в муниципальные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УКМО.</w:t>
      </w:r>
    </w:p>
    <w:p w14:paraId="6D86FB48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E40FEF" w14:textId="2EBF0698" w:rsidR="005E6152" w:rsidRDefault="003733DD" w:rsidP="00FC580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данное </w:t>
      </w:r>
      <w:r w:rsidR="00BC5DA5">
        <w:rPr>
          <w:rFonts w:ascii="Times New Roman" w:eastAsia="Calibri" w:hAnsi="Times New Roman" w:cs="Times New Roman"/>
          <w:sz w:val="28"/>
          <w:szCs w:val="28"/>
          <w:lang w:eastAsia="ru-RU"/>
        </w:rPr>
        <w:t>Закл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ючение</w:t>
      </w:r>
      <w:r w:rsidR="00BC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Мэру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и </w:t>
      </w:r>
      <w:r w:rsidR="00BC5DA5">
        <w:rPr>
          <w:rFonts w:ascii="Times New Roman" w:eastAsia="Calibri" w:hAnsi="Times New Roman" w:cs="Times New Roman"/>
          <w:sz w:val="28"/>
          <w:szCs w:val="28"/>
          <w:lang w:eastAsia="ru-RU"/>
        </w:rPr>
        <w:t>в Думу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УКМО.</w:t>
      </w:r>
    </w:p>
    <w:p w14:paraId="037573FD" w14:textId="77777777" w:rsidR="005E6152" w:rsidRDefault="005E6152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102E72" w14:textId="77777777" w:rsidR="005E6152" w:rsidRDefault="005E6152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62DF5B" w14:textId="4BEF6C07" w:rsidR="00683228" w:rsidRPr="00024AFE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E88E" w14:textId="77777777" w:rsidR="00AC2F9E" w:rsidRDefault="00AC2F9E">
      <w:pPr>
        <w:spacing w:after="0" w:line="240" w:lineRule="auto"/>
      </w:pPr>
      <w:r>
        <w:separator/>
      </w:r>
    </w:p>
  </w:endnote>
  <w:endnote w:type="continuationSeparator" w:id="0">
    <w:p w14:paraId="23C92C24" w14:textId="77777777" w:rsidR="00AC2F9E" w:rsidRDefault="00AC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9EF2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2CD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F9F1" w14:textId="77777777" w:rsidR="00AC2F9E" w:rsidRDefault="00AC2F9E">
      <w:pPr>
        <w:spacing w:after="0" w:line="240" w:lineRule="auto"/>
      </w:pPr>
      <w:r>
        <w:separator/>
      </w:r>
    </w:p>
  </w:footnote>
  <w:footnote w:type="continuationSeparator" w:id="0">
    <w:p w14:paraId="3B00F14B" w14:textId="77777777" w:rsidR="00AC2F9E" w:rsidRDefault="00AC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C8EA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2</w:t>
    </w:r>
    <w:r>
      <w:fldChar w:fldCharType="end"/>
    </w:r>
  </w:p>
  <w:p w14:paraId="3E7DA2BB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EB07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1</w:t>
    </w:r>
    <w:r>
      <w:fldChar w:fldCharType="end"/>
    </w:r>
  </w:p>
  <w:p w14:paraId="2FCF5737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052BC"/>
    <w:rsid w:val="00005938"/>
    <w:rsid w:val="000235B5"/>
    <w:rsid w:val="00023A06"/>
    <w:rsid w:val="000243EE"/>
    <w:rsid w:val="00024AFE"/>
    <w:rsid w:val="00030700"/>
    <w:rsid w:val="00033CC7"/>
    <w:rsid w:val="00033D12"/>
    <w:rsid w:val="00035C5A"/>
    <w:rsid w:val="0005542B"/>
    <w:rsid w:val="00060851"/>
    <w:rsid w:val="000805A7"/>
    <w:rsid w:val="00094550"/>
    <w:rsid w:val="000A06B2"/>
    <w:rsid w:val="000A1D06"/>
    <w:rsid w:val="000A52AB"/>
    <w:rsid w:val="000A660E"/>
    <w:rsid w:val="000B61F4"/>
    <w:rsid w:val="000C0C3C"/>
    <w:rsid w:val="000D5926"/>
    <w:rsid w:val="000E3D84"/>
    <w:rsid w:val="000E419E"/>
    <w:rsid w:val="000E7258"/>
    <w:rsid w:val="001016CD"/>
    <w:rsid w:val="0011026F"/>
    <w:rsid w:val="001244D9"/>
    <w:rsid w:val="00130D65"/>
    <w:rsid w:val="0013129C"/>
    <w:rsid w:val="001359F8"/>
    <w:rsid w:val="00136E43"/>
    <w:rsid w:val="001377B2"/>
    <w:rsid w:val="00142502"/>
    <w:rsid w:val="00143327"/>
    <w:rsid w:val="00144903"/>
    <w:rsid w:val="001468D8"/>
    <w:rsid w:val="001472A6"/>
    <w:rsid w:val="0015532A"/>
    <w:rsid w:val="00161345"/>
    <w:rsid w:val="001626CD"/>
    <w:rsid w:val="001655E8"/>
    <w:rsid w:val="00165E19"/>
    <w:rsid w:val="0016776C"/>
    <w:rsid w:val="0016783C"/>
    <w:rsid w:val="00171176"/>
    <w:rsid w:val="00186900"/>
    <w:rsid w:val="001A1651"/>
    <w:rsid w:val="001A2879"/>
    <w:rsid w:val="001A49B8"/>
    <w:rsid w:val="001A538F"/>
    <w:rsid w:val="00203666"/>
    <w:rsid w:val="00205C2D"/>
    <w:rsid w:val="00206008"/>
    <w:rsid w:val="00226D7A"/>
    <w:rsid w:val="002433CB"/>
    <w:rsid w:val="00243C2E"/>
    <w:rsid w:val="0025122F"/>
    <w:rsid w:val="002676E8"/>
    <w:rsid w:val="002707F0"/>
    <w:rsid w:val="00270E80"/>
    <w:rsid w:val="00276F19"/>
    <w:rsid w:val="00277435"/>
    <w:rsid w:val="002817FE"/>
    <w:rsid w:val="00287172"/>
    <w:rsid w:val="00291DA8"/>
    <w:rsid w:val="00297D0F"/>
    <w:rsid w:val="002A58EF"/>
    <w:rsid w:val="002B26BA"/>
    <w:rsid w:val="002B4D2E"/>
    <w:rsid w:val="002C2101"/>
    <w:rsid w:val="002D120C"/>
    <w:rsid w:val="002E740F"/>
    <w:rsid w:val="002F6E89"/>
    <w:rsid w:val="002F7B78"/>
    <w:rsid w:val="00302EF1"/>
    <w:rsid w:val="0030615B"/>
    <w:rsid w:val="003076C7"/>
    <w:rsid w:val="00311985"/>
    <w:rsid w:val="00317D3C"/>
    <w:rsid w:val="0032040E"/>
    <w:rsid w:val="00331854"/>
    <w:rsid w:val="00331A86"/>
    <w:rsid w:val="00352697"/>
    <w:rsid w:val="00352A97"/>
    <w:rsid w:val="003556AC"/>
    <w:rsid w:val="003733DD"/>
    <w:rsid w:val="00380C22"/>
    <w:rsid w:val="00381992"/>
    <w:rsid w:val="0038416F"/>
    <w:rsid w:val="003909F9"/>
    <w:rsid w:val="003916DA"/>
    <w:rsid w:val="003A244A"/>
    <w:rsid w:val="003A40F8"/>
    <w:rsid w:val="003A4B9C"/>
    <w:rsid w:val="003B257A"/>
    <w:rsid w:val="003B31CD"/>
    <w:rsid w:val="003B5AE7"/>
    <w:rsid w:val="003B635E"/>
    <w:rsid w:val="003D707E"/>
    <w:rsid w:val="003E15C6"/>
    <w:rsid w:val="00400E9E"/>
    <w:rsid w:val="00411196"/>
    <w:rsid w:val="0041466C"/>
    <w:rsid w:val="004220FD"/>
    <w:rsid w:val="00430D91"/>
    <w:rsid w:val="004335CB"/>
    <w:rsid w:val="00433EBC"/>
    <w:rsid w:val="004426A6"/>
    <w:rsid w:val="004575CC"/>
    <w:rsid w:val="00457ABC"/>
    <w:rsid w:val="00460BA2"/>
    <w:rsid w:val="00466737"/>
    <w:rsid w:val="004744D6"/>
    <w:rsid w:val="004752F7"/>
    <w:rsid w:val="0048047D"/>
    <w:rsid w:val="0048265C"/>
    <w:rsid w:val="00484AB1"/>
    <w:rsid w:val="004875F5"/>
    <w:rsid w:val="004A0D9E"/>
    <w:rsid w:val="004A0E74"/>
    <w:rsid w:val="004A683F"/>
    <w:rsid w:val="004B288B"/>
    <w:rsid w:val="004B2C89"/>
    <w:rsid w:val="004B38C1"/>
    <w:rsid w:val="004D02D8"/>
    <w:rsid w:val="004D42F1"/>
    <w:rsid w:val="004E324F"/>
    <w:rsid w:val="004E34E9"/>
    <w:rsid w:val="004F34DE"/>
    <w:rsid w:val="0052295B"/>
    <w:rsid w:val="005240B5"/>
    <w:rsid w:val="00555B51"/>
    <w:rsid w:val="0056612D"/>
    <w:rsid w:val="00583024"/>
    <w:rsid w:val="005879C1"/>
    <w:rsid w:val="005967B9"/>
    <w:rsid w:val="005B0145"/>
    <w:rsid w:val="005B077B"/>
    <w:rsid w:val="005B780E"/>
    <w:rsid w:val="005C0CBC"/>
    <w:rsid w:val="005C4870"/>
    <w:rsid w:val="005D2213"/>
    <w:rsid w:val="005D2943"/>
    <w:rsid w:val="005E1446"/>
    <w:rsid w:val="005E47BA"/>
    <w:rsid w:val="005E6152"/>
    <w:rsid w:val="005E68D2"/>
    <w:rsid w:val="005E7CB0"/>
    <w:rsid w:val="005F618E"/>
    <w:rsid w:val="0061570E"/>
    <w:rsid w:val="00615864"/>
    <w:rsid w:val="00624D73"/>
    <w:rsid w:val="00636882"/>
    <w:rsid w:val="00637965"/>
    <w:rsid w:val="00647430"/>
    <w:rsid w:val="00650CAD"/>
    <w:rsid w:val="006618EF"/>
    <w:rsid w:val="00666A73"/>
    <w:rsid w:val="00683228"/>
    <w:rsid w:val="00691524"/>
    <w:rsid w:val="00694984"/>
    <w:rsid w:val="00697A3C"/>
    <w:rsid w:val="006A0BCF"/>
    <w:rsid w:val="006B11F0"/>
    <w:rsid w:val="006B144A"/>
    <w:rsid w:val="006C14FE"/>
    <w:rsid w:val="006C474F"/>
    <w:rsid w:val="006E3FD1"/>
    <w:rsid w:val="006E5941"/>
    <w:rsid w:val="006F0935"/>
    <w:rsid w:val="006F5801"/>
    <w:rsid w:val="006F770A"/>
    <w:rsid w:val="00700084"/>
    <w:rsid w:val="00702267"/>
    <w:rsid w:val="0071114A"/>
    <w:rsid w:val="00717F78"/>
    <w:rsid w:val="00720576"/>
    <w:rsid w:val="00734E98"/>
    <w:rsid w:val="0073614C"/>
    <w:rsid w:val="00744608"/>
    <w:rsid w:val="00754EBD"/>
    <w:rsid w:val="00755970"/>
    <w:rsid w:val="007564C2"/>
    <w:rsid w:val="00762878"/>
    <w:rsid w:val="00767B35"/>
    <w:rsid w:val="00776AE7"/>
    <w:rsid w:val="007773EE"/>
    <w:rsid w:val="00784D6B"/>
    <w:rsid w:val="0078653E"/>
    <w:rsid w:val="007A4CF1"/>
    <w:rsid w:val="007B4DE1"/>
    <w:rsid w:val="007C7C2E"/>
    <w:rsid w:val="007D6919"/>
    <w:rsid w:val="007E3AC2"/>
    <w:rsid w:val="007F619E"/>
    <w:rsid w:val="007F7D0A"/>
    <w:rsid w:val="007F7F2C"/>
    <w:rsid w:val="00803CBD"/>
    <w:rsid w:val="008067F2"/>
    <w:rsid w:val="008268BC"/>
    <w:rsid w:val="0084037D"/>
    <w:rsid w:val="00841FB6"/>
    <w:rsid w:val="00851FE8"/>
    <w:rsid w:val="008546C3"/>
    <w:rsid w:val="0086254D"/>
    <w:rsid w:val="0086369F"/>
    <w:rsid w:val="00871246"/>
    <w:rsid w:val="00871647"/>
    <w:rsid w:val="00871B5B"/>
    <w:rsid w:val="00872711"/>
    <w:rsid w:val="008754E7"/>
    <w:rsid w:val="008772B7"/>
    <w:rsid w:val="00880F79"/>
    <w:rsid w:val="008814CE"/>
    <w:rsid w:val="00883F7B"/>
    <w:rsid w:val="00887186"/>
    <w:rsid w:val="008A2B29"/>
    <w:rsid w:val="008C49FC"/>
    <w:rsid w:val="008C63D9"/>
    <w:rsid w:val="008D099D"/>
    <w:rsid w:val="008D0B72"/>
    <w:rsid w:val="008E0224"/>
    <w:rsid w:val="008E1727"/>
    <w:rsid w:val="008E201C"/>
    <w:rsid w:val="008E3B38"/>
    <w:rsid w:val="008E5CC3"/>
    <w:rsid w:val="008F0642"/>
    <w:rsid w:val="009029F6"/>
    <w:rsid w:val="0090422A"/>
    <w:rsid w:val="00911771"/>
    <w:rsid w:val="009340AE"/>
    <w:rsid w:val="009349DF"/>
    <w:rsid w:val="0093536C"/>
    <w:rsid w:val="009362BA"/>
    <w:rsid w:val="00944906"/>
    <w:rsid w:val="0094646D"/>
    <w:rsid w:val="00950B0F"/>
    <w:rsid w:val="00963E9C"/>
    <w:rsid w:val="00964B75"/>
    <w:rsid w:val="00965EC0"/>
    <w:rsid w:val="00973010"/>
    <w:rsid w:val="009A69E3"/>
    <w:rsid w:val="009A78FB"/>
    <w:rsid w:val="009B1C79"/>
    <w:rsid w:val="009C2967"/>
    <w:rsid w:val="009C6F0C"/>
    <w:rsid w:val="009C7DAE"/>
    <w:rsid w:val="009D11B0"/>
    <w:rsid w:val="009D2AD1"/>
    <w:rsid w:val="009D4F2A"/>
    <w:rsid w:val="009E7E8D"/>
    <w:rsid w:val="00A03F10"/>
    <w:rsid w:val="00A03FF4"/>
    <w:rsid w:val="00A205A3"/>
    <w:rsid w:val="00A215CB"/>
    <w:rsid w:val="00A37B36"/>
    <w:rsid w:val="00A41C9B"/>
    <w:rsid w:val="00A451D1"/>
    <w:rsid w:val="00A452CA"/>
    <w:rsid w:val="00A47754"/>
    <w:rsid w:val="00A52C52"/>
    <w:rsid w:val="00A54BA5"/>
    <w:rsid w:val="00A56F76"/>
    <w:rsid w:val="00A66489"/>
    <w:rsid w:val="00A6742F"/>
    <w:rsid w:val="00A8296C"/>
    <w:rsid w:val="00A864E4"/>
    <w:rsid w:val="00A9410B"/>
    <w:rsid w:val="00A95A6F"/>
    <w:rsid w:val="00AA115D"/>
    <w:rsid w:val="00AC1B40"/>
    <w:rsid w:val="00AC2F9E"/>
    <w:rsid w:val="00AC6C1A"/>
    <w:rsid w:val="00AD0DB3"/>
    <w:rsid w:val="00AD7246"/>
    <w:rsid w:val="00AE53B9"/>
    <w:rsid w:val="00AF4360"/>
    <w:rsid w:val="00AF6202"/>
    <w:rsid w:val="00B0151F"/>
    <w:rsid w:val="00B2160D"/>
    <w:rsid w:val="00B25D59"/>
    <w:rsid w:val="00B26359"/>
    <w:rsid w:val="00B30E52"/>
    <w:rsid w:val="00B348A0"/>
    <w:rsid w:val="00B36EAF"/>
    <w:rsid w:val="00B40DDE"/>
    <w:rsid w:val="00B46BA3"/>
    <w:rsid w:val="00B62DE9"/>
    <w:rsid w:val="00B6439B"/>
    <w:rsid w:val="00B72C89"/>
    <w:rsid w:val="00B74ECE"/>
    <w:rsid w:val="00B8146F"/>
    <w:rsid w:val="00B82E79"/>
    <w:rsid w:val="00B938E4"/>
    <w:rsid w:val="00BA3ECB"/>
    <w:rsid w:val="00BA6143"/>
    <w:rsid w:val="00BB234C"/>
    <w:rsid w:val="00BC1E24"/>
    <w:rsid w:val="00BC43F2"/>
    <w:rsid w:val="00BC5DA5"/>
    <w:rsid w:val="00BD2AD5"/>
    <w:rsid w:val="00BD5721"/>
    <w:rsid w:val="00BF4650"/>
    <w:rsid w:val="00BF7EEE"/>
    <w:rsid w:val="00C04422"/>
    <w:rsid w:val="00C22B8C"/>
    <w:rsid w:val="00C251C3"/>
    <w:rsid w:val="00C262EC"/>
    <w:rsid w:val="00C34658"/>
    <w:rsid w:val="00C34693"/>
    <w:rsid w:val="00C35861"/>
    <w:rsid w:val="00C4515D"/>
    <w:rsid w:val="00C45816"/>
    <w:rsid w:val="00C56FAE"/>
    <w:rsid w:val="00C64077"/>
    <w:rsid w:val="00C672A4"/>
    <w:rsid w:val="00C72ABA"/>
    <w:rsid w:val="00C73DB0"/>
    <w:rsid w:val="00C7543E"/>
    <w:rsid w:val="00C82AE7"/>
    <w:rsid w:val="00C864D9"/>
    <w:rsid w:val="00CB1FC0"/>
    <w:rsid w:val="00CC2260"/>
    <w:rsid w:val="00CC37D6"/>
    <w:rsid w:val="00CC7494"/>
    <w:rsid w:val="00CD714E"/>
    <w:rsid w:val="00CF231B"/>
    <w:rsid w:val="00CF656E"/>
    <w:rsid w:val="00D01F2B"/>
    <w:rsid w:val="00D130DF"/>
    <w:rsid w:val="00D143AB"/>
    <w:rsid w:val="00D14A6D"/>
    <w:rsid w:val="00D15CD9"/>
    <w:rsid w:val="00D2003A"/>
    <w:rsid w:val="00D3158B"/>
    <w:rsid w:val="00D52836"/>
    <w:rsid w:val="00D56FC9"/>
    <w:rsid w:val="00D743F5"/>
    <w:rsid w:val="00D7658A"/>
    <w:rsid w:val="00D87CE6"/>
    <w:rsid w:val="00D934A6"/>
    <w:rsid w:val="00D9460D"/>
    <w:rsid w:val="00DA0532"/>
    <w:rsid w:val="00DA2800"/>
    <w:rsid w:val="00DA490C"/>
    <w:rsid w:val="00DB2ED0"/>
    <w:rsid w:val="00DB7FF9"/>
    <w:rsid w:val="00DC01B1"/>
    <w:rsid w:val="00DC3E3C"/>
    <w:rsid w:val="00DE3A85"/>
    <w:rsid w:val="00DE3B2C"/>
    <w:rsid w:val="00DF132F"/>
    <w:rsid w:val="00DF7C6A"/>
    <w:rsid w:val="00E07B47"/>
    <w:rsid w:val="00E159D8"/>
    <w:rsid w:val="00E22D71"/>
    <w:rsid w:val="00E231CA"/>
    <w:rsid w:val="00E25397"/>
    <w:rsid w:val="00E26F4F"/>
    <w:rsid w:val="00E333AF"/>
    <w:rsid w:val="00E47860"/>
    <w:rsid w:val="00E47956"/>
    <w:rsid w:val="00E65832"/>
    <w:rsid w:val="00E70E26"/>
    <w:rsid w:val="00E72558"/>
    <w:rsid w:val="00E726C9"/>
    <w:rsid w:val="00E92987"/>
    <w:rsid w:val="00E92F3A"/>
    <w:rsid w:val="00EA7FCE"/>
    <w:rsid w:val="00EC54F9"/>
    <w:rsid w:val="00EC7470"/>
    <w:rsid w:val="00ED0E0D"/>
    <w:rsid w:val="00ED2C5B"/>
    <w:rsid w:val="00ED5B87"/>
    <w:rsid w:val="00EE3764"/>
    <w:rsid w:val="00EE47A8"/>
    <w:rsid w:val="00EE62F8"/>
    <w:rsid w:val="00EF5CB9"/>
    <w:rsid w:val="00EF6D99"/>
    <w:rsid w:val="00F03D34"/>
    <w:rsid w:val="00F07C98"/>
    <w:rsid w:val="00F10EE8"/>
    <w:rsid w:val="00F15007"/>
    <w:rsid w:val="00F16531"/>
    <w:rsid w:val="00F1672A"/>
    <w:rsid w:val="00F179B2"/>
    <w:rsid w:val="00F2247A"/>
    <w:rsid w:val="00F24322"/>
    <w:rsid w:val="00F32425"/>
    <w:rsid w:val="00F35349"/>
    <w:rsid w:val="00F40899"/>
    <w:rsid w:val="00F410AB"/>
    <w:rsid w:val="00F516A3"/>
    <w:rsid w:val="00F62D22"/>
    <w:rsid w:val="00F73F7C"/>
    <w:rsid w:val="00F93F6C"/>
    <w:rsid w:val="00FA51EE"/>
    <w:rsid w:val="00FC27F2"/>
    <w:rsid w:val="00FC5803"/>
    <w:rsid w:val="00FD0785"/>
    <w:rsid w:val="00FD3713"/>
    <w:rsid w:val="00FD4BF5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5139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071-E5D7-425E-9069-71EB411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9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38</cp:revision>
  <cp:lastPrinted>2021-08-18T06:28:00Z</cp:lastPrinted>
  <dcterms:created xsi:type="dcterms:W3CDTF">2020-02-20T02:06:00Z</dcterms:created>
  <dcterms:modified xsi:type="dcterms:W3CDTF">2021-08-18T08:19:00Z</dcterms:modified>
  <dc:language>ru-RU</dc:language>
</cp:coreProperties>
</file>