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F22D91">
        <w:rPr>
          <w:noProof/>
        </w:rPr>
        <w:drawing>
          <wp:anchor distT="0" distB="0" distL="114300" distR="114300" simplePos="0" relativeHeight="251660288" behindDoc="0" locked="0" layoutInCell="1" allowOverlap="1" wp14:anchorId="2669030D" wp14:editId="25A6D746">
            <wp:simplePos x="0" y="0"/>
            <wp:positionH relativeFrom="page">
              <wp:align>center</wp:align>
            </wp:positionH>
            <wp:positionV relativeFrom="paragraph">
              <wp:posOffset>-247650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F22D91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 xml:space="preserve">КОНТРОЛЬНО-СЧЕТНАЯ КОМИССИЯ </w:t>
      </w: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F22D91">
        <w:rPr>
          <w:b/>
          <w:sz w:val="28"/>
          <w:szCs w:val="28"/>
        </w:rPr>
        <w:t>УСТЬ - КУТСКОГО МУНИЦИПАЛЬНОГО ОБРАЗОВАНИЯ</w:t>
      </w:r>
    </w:p>
    <w:p w:rsidR="00A90197" w:rsidRPr="00F22D91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(КСК УКМО)</w:t>
      </w:r>
    </w:p>
    <w:p w:rsidR="00A90197" w:rsidRPr="00F22D91" w:rsidRDefault="00D8420A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F22D9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9D7232" wp14:editId="0F32B2DF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515F6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1862AC" w:rsidRPr="00F22D91" w:rsidTr="00AC6B80">
        <w:trPr>
          <w:trHeight w:val="360"/>
        </w:trPr>
        <w:tc>
          <w:tcPr>
            <w:tcW w:w="720" w:type="dxa"/>
          </w:tcPr>
          <w:p w:rsidR="00A90197" w:rsidRPr="00F22D91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Pr="00F22D91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F22D91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 xml:space="preserve">ЗАКЛЮЧЕНИЕ № </w:t>
      </w:r>
      <w:r w:rsidR="00DF118A" w:rsidRPr="00F22D91">
        <w:rPr>
          <w:b/>
          <w:sz w:val="28"/>
          <w:szCs w:val="28"/>
        </w:rPr>
        <w:t>01</w:t>
      </w:r>
      <w:r w:rsidR="00CF084C" w:rsidRPr="00F22D91">
        <w:rPr>
          <w:b/>
          <w:sz w:val="28"/>
          <w:szCs w:val="28"/>
        </w:rPr>
        <w:t>–</w:t>
      </w:r>
      <w:r w:rsidR="00B2583E" w:rsidRPr="00F22D91">
        <w:rPr>
          <w:b/>
          <w:sz w:val="28"/>
          <w:szCs w:val="28"/>
        </w:rPr>
        <w:t>2</w:t>
      </w:r>
      <w:r w:rsidR="00F22D91" w:rsidRPr="00F22D91">
        <w:rPr>
          <w:b/>
          <w:sz w:val="28"/>
          <w:szCs w:val="28"/>
        </w:rPr>
        <w:t>2</w:t>
      </w:r>
      <w:r w:rsidR="00DF118A" w:rsidRPr="00F22D91">
        <w:rPr>
          <w:b/>
          <w:sz w:val="28"/>
          <w:szCs w:val="28"/>
        </w:rPr>
        <w:t>з</w:t>
      </w:r>
    </w:p>
    <w:p w:rsidR="00A90197" w:rsidRPr="00F22D91" w:rsidRDefault="00456C00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F22D91">
        <w:rPr>
          <w:rFonts w:eastAsia="Calibri"/>
          <w:b/>
          <w:sz w:val="28"/>
          <w:szCs w:val="28"/>
        </w:rPr>
        <w:t xml:space="preserve">на годовой отчет об исполнении бюджета </w:t>
      </w:r>
      <w:r w:rsidR="005531FB" w:rsidRPr="00F22D91">
        <w:rPr>
          <w:rFonts w:eastAsia="Calibri"/>
          <w:b/>
          <w:sz w:val="28"/>
          <w:szCs w:val="28"/>
        </w:rPr>
        <w:t>Нийского</w:t>
      </w:r>
      <w:r w:rsidR="00872BB0" w:rsidRPr="00F22D91">
        <w:rPr>
          <w:rFonts w:eastAsia="Calibri"/>
          <w:b/>
          <w:sz w:val="28"/>
          <w:szCs w:val="28"/>
        </w:rPr>
        <w:t xml:space="preserve"> </w:t>
      </w:r>
      <w:r w:rsidRPr="00F22D91">
        <w:rPr>
          <w:rFonts w:eastAsia="Calibri"/>
          <w:b/>
          <w:sz w:val="28"/>
          <w:szCs w:val="28"/>
        </w:rPr>
        <w:t>муниципального образования</w:t>
      </w:r>
      <w:r w:rsidR="00C6015A" w:rsidRPr="00F22D91">
        <w:rPr>
          <w:rFonts w:eastAsia="Calibri"/>
          <w:b/>
          <w:sz w:val="28"/>
          <w:szCs w:val="28"/>
        </w:rPr>
        <w:t xml:space="preserve"> </w:t>
      </w:r>
      <w:r w:rsidR="003D35DE" w:rsidRPr="00F22D91">
        <w:rPr>
          <w:rFonts w:eastAsia="Calibri"/>
          <w:b/>
          <w:sz w:val="28"/>
          <w:szCs w:val="28"/>
        </w:rPr>
        <w:t>з</w:t>
      </w:r>
      <w:r w:rsidR="00A90197" w:rsidRPr="00F22D91">
        <w:rPr>
          <w:rFonts w:eastAsia="Calibri"/>
          <w:b/>
          <w:sz w:val="28"/>
          <w:szCs w:val="28"/>
        </w:rPr>
        <w:t>а 201</w:t>
      </w:r>
      <w:r w:rsidR="00F22D91" w:rsidRPr="00F22D91">
        <w:rPr>
          <w:rFonts w:eastAsia="Calibri"/>
          <w:b/>
          <w:sz w:val="28"/>
          <w:szCs w:val="28"/>
        </w:rPr>
        <w:t>9</w:t>
      </w:r>
      <w:r w:rsidR="0003659D" w:rsidRPr="00F22D91">
        <w:rPr>
          <w:rFonts w:eastAsia="Calibri"/>
          <w:b/>
          <w:sz w:val="28"/>
          <w:szCs w:val="28"/>
        </w:rPr>
        <w:t xml:space="preserve"> год</w:t>
      </w:r>
    </w:p>
    <w:p w:rsidR="009D5644" w:rsidRPr="00F22D91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sz w:val="28"/>
          <w:szCs w:val="28"/>
        </w:rPr>
      </w:pPr>
    </w:p>
    <w:p w:rsidR="009D5644" w:rsidRPr="00F22D91" w:rsidRDefault="00456C00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 w:rsidRPr="00F22D91">
        <w:rPr>
          <w:rFonts w:eastAsia="Calibri"/>
          <w:sz w:val="28"/>
          <w:szCs w:val="28"/>
        </w:rPr>
        <w:t>1</w:t>
      </w:r>
      <w:r w:rsidR="00546492" w:rsidRPr="00F22D91">
        <w:rPr>
          <w:rFonts w:eastAsia="Calibri"/>
          <w:sz w:val="28"/>
          <w:szCs w:val="28"/>
        </w:rPr>
        <w:t>6</w:t>
      </w:r>
      <w:r w:rsidR="009D5644" w:rsidRPr="00F22D91">
        <w:rPr>
          <w:rFonts w:eastAsia="Calibri"/>
          <w:sz w:val="28"/>
          <w:szCs w:val="28"/>
        </w:rPr>
        <w:t>.04.20</w:t>
      </w:r>
      <w:r w:rsidR="00546492" w:rsidRPr="00F22D91">
        <w:rPr>
          <w:rFonts w:eastAsia="Calibri"/>
          <w:sz w:val="28"/>
          <w:szCs w:val="28"/>
        </w:rPr>
        <w:t>20</w:t>
      </w:r>
      <w:r w:rsidR="00E020AA" w:rsidRPr="00F22D91">
        <w:rPr>
          <w:rFonts w:eastAsia="Calibri"/>
          <w:sz w:val="28"/>
          <w:szCs w:val="28"/>
        </w:rPr>
        <w:t xml:space="preserve"> год</w:t>
      </w:r>
      <w:r w:rsidR="009D5644" w:rsidRPr="00F22D91">
        <w:rPr>
          <w:rFonts w:eastAsia="Calibri"/>
          <w:sz w:val="28"/>
          <w:szCs w:val="28"/>
        </w:rPr>
        <w:t xml:space="preserve">                                                         </w:t>
      </w:r>
      <w:r w:rsidR="002D75D8" w:rsidRPr="00F22D91">
        <w:rPr>
          <w:rFonts w:eastAsia="Calibri"/>
          <w:sz w:val="28"/>
          <w:szCs w:val="28"/>
        </w:rPr>
        <w:t xml:space="preserve">   </w:t>
      </w:r>
      <w:r w:rsidR="009D5644" w:rsidRPr="00F22D91">
        <w:rPr>
          <w:rFonts w:eastAsia="Calibri"/>
          <w:sz w:val="28"/>
          <w:szCs w:val="28"/>
        </w:rPr>
        <w:t xml:space="preserve">        </w:t>
      </w:r>
      <w:r w:rsidR="00AF0473" w:rsidRPr="00F22D91">
        <w:rPr>
          <w:rFonts w:eastAsia="Calibri"/>
          <w:sz w:val="28"/>
          <w:szCs w:val="28"/>
        </w:rPr>
        <w:t xml:space="preserve">  </w:t>
      </w:r>
      <w:r w:rsidR="00D1653B">
        <w:rPr>
          <w:rFonts w:eastAsia="Calibri"/>
          <w:sz w:val="28"/>
          <w:szCs w:val="28"/>
        </w:rPr>
        <w:t xml:space="preserve">                    </w:t>
      </w:r>
    </w:p>
    <w:p w:rsidR="0003659D" w:rsidRPr="00F22D91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F22D91">
        <w:rPr>
          <w:sz w:val="26"/>
          <w:szCs w:val="26"/>
        </w:rPr>
        <w:t xml:space="preserve">  </w:t>
      </w:r>
      <w:r w:rsidR="00D970B6" w:rsidRPr="00F22D91">
        <w:rPr>
          <w:sz w:val="26"/>
          <w:szCs w:val="26"/>
        </w:rPr>
        <w:t xml:space="preserve"> </w:t>
      </w:r>
    </w:p>
    <w:p w:rsidR="00A90197" w:rsidRPr="00F22D91" w:rsidRDefault="0003659D" w:rsidP="00A90197">
      <w:pPr>
        <w:shd w:val="clear" w:color="auto" w:fill="FFFFFF"/>
        <w:ind w:left="6372"/>
        <w:jc w:val="both"/>
        <w:rPr>
          <w:sz w:val="26"/>
          <w:szCs w:val="26"/>
        </w:rPr>
      </w:pPr>
      <w:bookmarkStart w:id="0" w:name="_GoBack"/>
      <w:bookmarkEnd w:id="0"/>
      <w:r w:rsidRPr="00F22D91">
        <w:rPr>
          <w:sz w:val="26"/>
          <w:szCs w:val="26"/>
        </w:rPr>
        <w:t xml:space="preserve">      </w:t>
      </w:r>
      <w:r w:rsidR="00CA5BB1" w:rsidRPr="00F22D91">
        <w:rPr>
          <w:sz w:val="26"/>
          <w:szCs w:val="26"/>
        </w:rPr>
        <w:t xml:space="preserve">  </w:t>
      </w:r>
      <w:r w:rsidR="00A90197" w:rsidRPr="00F22D91">
        <w:rPr>
          <w:sz w:val="26"/>
          <w:szCs w:val="26"/>
        </w:rPr>
        <w:t>Утверждено</w:t>
      </w:r>
    </w:p>
    <w:p w:rsidR="00A90197" w:rsidRPr="00F22D91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F22D91">
        <w:rPr>
          <w:sz w:val="26"/>
          <w:szCs w:val="26"/>
        </w:rPr>
        <w:t>распоряжением председателя</w:t>
      </w:r>
    </w:p>
    <w:p w:rsidR="00A90197" w:rsidRPr="00F22D91" w:rsidRDefault="00B2583E" w:rsidP="00B2583E">
      <w:pPr>
        <w:shd w:val="clear" w:color="auto" w:fill="FFFFFF"/>
        <w:tabs>
          <w:tab w:val="center" w:pos="7580"/>
          <w:tab w:val="left" w:pos="9120"/>
        </w:tabs>
        <w:ind w:left="4248" w:firstLine="708"/>
        <w:rPr>
          <w:sz w:val="26"/>
          <w:szCs w:val="26"/>
        </w:rPr>
      </w:pPr>
      <w:r w:rsidRPr="00F22D91">
        <w:rPr>
          <w:sz w:val="26"/>
          <w:szCs w:val="26"/>
        </w:rPr>
        <w:tab/>
      </w:r>
      <w:r w:rsidR="00A90197" w:rsidRPr="00F22D91">
        <w:rPr>
          <w:sz w:val="26"/>
          <w:szCs w:val="26"/>
        </w:rPr>
        <w:t>КСК УКМО</w:t>
      </w:r>
      <w:r w:rsidRPr="00F22D91">
        <w:rPr>
          <w:sz w:val="26"/>
          <w:szCs w:val="26"/>
        </w:rPr>
        <w:tab/>
      </w:r>
    </w:p>
    <w:p w:rsidR="00A90197" w:rsidRPr="00F22D91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F22D91">
        <w:rPr>
          <w:sz w:val="26"/>
          <w:szCs w:val="26"/>
        </w:rPr>
        <w:t xml:space="preserve">   </w:t>
      </w:r>
      <w:r w:rsidR="00D970B6" w:rsidRPr="00F22D91">
        <w:rPr>
          <w:sz w:val="26"/>
          <w:szCs w:val="26"/>
        </w:rPr>
        <w:t xml:space="preserve"> </w:t>
      </w:r>
      <w:r w:rsidRPr="00F22D91">
        <w:rPr>
          <w:sz w:val="26"/>
          <w:szCs w:val="26"/>
        </w:rPr>
        <w:t xml:space="preserve">   </w:t>
      </w:r>
      <w:r w:rsidR="00A90197" w:rsidRPr="00F22D91">
        <w:rPr>
          <w:sz w:val="26"/>
          <w:szCs w:val="26"/>
        </w:rPr>
        <w:t xml:space="preserve"> от </w:t>
      </w:r>
      <w:r w:rsidR="00B2583E" w:rsidRPr="00F22D91">
        <w:rPr>
          <w:sz w:val="26"/>
          <w:szCs w:val="26"/>
        </w:rPr>
        <w:t>1</w:t>
      </w:r>
      <w:r w:rsidR="00F22D91" w:rsidRPr="00F22D91">
        <w:rPr>
          <w:sz w:val="26"/>
          <w:szCs w:val="26"/>
        </w:rPr>
        <w:t>6</w:t>
      </w:r>
      <w:r w:rsidR="00D970B6" w:rsidRPr="00F22D91">
        <w:rPr>
          <w:sz w:val="26"/>
          <w:szCs w:val="26"/>
        </w:rPr>
        <w:t>.0</w:t>
      </w:r>
      <w:r w:rsidR="007B5C17" w:rsidRPr="00F22D91">
        <w:rPr>
          <w:sz w:val="26"/>
          <w:szCs w:val="26"/>
        </w:rPr>
        <w:t>4</w:t>
      </w:r>
      <w:r w:rsidR="00546492" w:rsidRPr="00F22D91">
        <w:rPr>
          <w:sz w:val="26"/>
          <w:szCs w:val="26"/>
        </w:rPr>
        <w:t>.2020</w:t>
      </w:r>
      <w:r w:rsidR="00400B39" w:rsidRPr="00F22D91">
        <w:rPr>
          <w:sz w:val="26"/>
          <w:szCs w:val="26"/>
        </w:rPr>
        <w:t xml:space="preserve"> </w:t>
      </w:r>
      <w:r w:rsidR="00A90197" w:rsidRPr="00F22D91">
        <w:rPr>
          <w:sz w:val="26"/>
          <w:szCs w:val="26"/>
        </w:rPr>
        <w:t>№</w:t>
      </w:r>
      <w:r w:rsidR="00FA10E7" w:rsidRPr="00F22D91">
        <w:rPr>
          <w:sz w:val="26"/>
          <w:szCs w:val="26"/>
        </w:rPr>
        <w:t xml:space="preserve"> </w:t>
      </w:r>
      <w:r w:rsidR="00F22D91" w:rsidRPr="00F22D91">
        <w:rPr>
          <w:sz w:val="26"/>
          <w:szCs w:val="26"/>
        </w:rPr>
        <w:t>35</w:t>
      </w:r>
      <w:r w:rsidR="007B5C17" w:rsidRPr="00F22D91">
        <w:rPr>
          <w:sz w:val="26"/>
          <w:szCs w:val="26"/>
        </w:rPr>
        <w:t>-</w:t>
      </w:r>
      <w:r w:rsidR="00D970B6" w:rsidRPr="00F22D91">
        <w:rPr>
          <w:sz w:val="26"/>
          <w:szCs w:val="26"/>
        </w:rPr>
        <w:t>п</w:t>
      </w:r>
    </w:p>
    <w:p w:rsidR="00F50815" w:rsidRPr="00F22D91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15A" w:rsidRPr="00F22D91" w:rsidRDefault="003D35DE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Контрольно-счетной комиссией Усть</w:t>
      </w:r>
      <w:r w:rsidR="00FA1882" w:rsidRPr="00F22D91">
        <w:rPr>
          <w:sz w:val="28"/>
          <w:szCs w:val="28"/>
        </w:rPr>
        <w:t>-</w:t>
      </w:r>
      <w:r w:rsidRPr="00F22D91">
        <w:rPr>
          <w:sz w:val="28"/>
          <w:szCs w:val="28"/>
        </w:rPr>
        <w:t xml:space="preserve">Кутского муниципального образования (далее – КСК УКМО) подготовлено заключение на годовой отчет об исполнении бюджета </w:t>
      </w:r>
      <w:r w:rsidR="00FA1882" w:rsidRPr="00F22D91">
        <w:rPr>
          <w:sz w:val="28"/>
          <w:szCs w:val="28"/>
        </w:rPr>
        <w:t>А</w:t>
      </w:r>
      <w:r w:rsidR="009738C5" w:rsidRPr="00F22D91">
        <w:rPr>
          <w:sz w:val="28"/>
          <w:szCs w:val="28"/>
        </w:rPr>
        <w:t xml:space="preserve">дминистрации </w:t>
      </w:r>
      <w:r w:rsidR="005531FB" w:rsidRPr="00F22D91">
        <w:rPr>
          <w:sz w:val="28"/>
          <w:szCs w:val="28"/>
        </w:rPr>
        <w:t>Нийского</w:t>
      </w:r>
      <w:r w:rsidR="00161ED7" w:rsidRPr="00F22D91">
        <w:rPr>
          <w:sz w:val="28"/>
          <w:szCs w:val="28"/>
        </w:rPr>
        <w:t xml:space="preserve"> </w:t>
      </w:r>
      <w:r w:rsidR="00740A30" w:rsidRPr="00F22D91">
        <w:rPr>
          <w:sz w:val="28"/>
          <w:szCs w:val="28"/>
        </w:rPr>
        <w:t>муниципального образования</w:t>
      </w:r>
      <w:r w:rsidR="000E0847" w:rsidRPr="00F22D91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>в соответствии с требованиями статьи 264</w:t>
      </w:r>
      <w:r w:rsidR="00740A30" w:rsidRPr="00F22D91">
        <w:rPr>
          <w:sz w:val="28"/>
          <w:szCs w:val="28"/>
        </w:rPr>
        <w:t>.4</w:t>
      </w:r>
      <w:r w:rsidR="00DF118A" w:rsidRPr="00F22D91">
        <w:rPr>
          <w:sz w:val="28"/>
          <w:szCs w:val="28"/>
        </w:rPr>
        <w:t xml:space="preserve"> Бюджетного кодекса Российской Федерации</w:t>
      </w:r>
      <w:r w:rsidRPr="00F22D91">
        <w:rPr>
          <w:sz w:val="28"/>
          <w:szCs w:val="28"/>
        </w:rPr>
        <w:t xml:space="preserve"> и статьи 3</w:t>
      </w:r>
      <w:r w:rsidR="00740A30" w:rsidRPr="00F22D91">
        <w:rPr>
          <w:sz w:val="28"/>
          <w:szCs w:val="28"/>
        </w:rPr>
        <w:t>3</w:t>
      </w:r>
      <w:r w:rsidRPr="00F22D91">
        <w:rPr>
          <w:sz w:val="28"/>
          <w:szCs w:val="28"/>
        </w:rPr>
        <w:t xml:space="preserve"> </w:t>
      </w:r>
      <w:r w:rsidR="00740A30" w:rsidRPr="00F22D91">
        <w:rPr>
          <w:sz w:val="28"/>
          <w:szCs w:val="28"/>
        </w:rPr>
        <w:t xml:space="preserve">Положения о бюджетном процессе в </w:t>
      </w:r>
      <w:r w:rsidR="005531FB" w:rsidRPr="00F22D91">
        <w:rPr>
          <w:sz w:val="28"/>
          <w:szCs w:val="28"/>
        </w:rPr>
        <w:t>Нийском</w:t>
      </w:r>
      <w:r w:rsidR="00CF084C" w:rsidRPr="00F22D91">
        <w:rPr>
          <w:sz w:val="28"/>
          <w:szCs w:val="28"/>
        </w:rPr>
        <w:t xml:space="preserve"> </w:t>
      </w:r>
      <w:r w:rsidR="00740A30" w:rsidRPr="00F22D91">
        <w:rPr>
          <w:sz w:val="28"/>
          <w:szCs w:val="28"/>
        </w:rPr>
        <w:t xml:space="preserve">муниципальном образовании, утвержденного Решением Думы </w:t>
      </w:r>
      <w:r w:rsidR="00837FD2" w:rsidRPr="00F22D91">
        <w:rPr>
          <w:sz w:val="28"/>
          <w:szCs w:val="28"/>
        </w:rPr>
        <w:t>о</w:t>
      </w:r>
      <w:r w:rsidR="00740A30" w:rsidRPr="00F22D91">
        <w:rPr>
          <w:sz w:val="28"/>
          <w:szCs w:val="28"/>
        </w:rPr>
        <w:t xml:space="preserve">т </w:t>
      </w:r>
      <w:r w:rsidR="00E458D8" w:rsidRPr="00F22D91">
        <w:rPr>
          <w:sz w:val="28"/>
          <w:szCs w:val="28"/>
        </w:rPr>
        <w:t>26</w:t>
      </w:r>
      <w:r w:rsidR="00505501" w:rsidRPr="00F22D91">
        <w:rPr>
          <w:sz w:val="28"/>
          <w:szCs w:val="28"/>
        </w:rPr>
        <w:t>.</w:t>
      </w:r>
      <w:r w:rsidR="00E458D8" w:rsidRPr="00F22D91">
        <w:rPr>
          <w:sz w:val="28"/>
          <w:szCs w:val="28"/>
        </w:rPr>
        <w:t>08</w:t>
      </w:r>
      <w:r w:rsidR="00740A30" w:rsidRPr="00F22D91">
        <w:rPr>
          <w:sz w:val="28"/>
          <w:szCs w:val="28"/>
        </w:rPr>
        <w:t>.201</w:t>
      </w:r>
      <w:r w:rsidR="00E458D8" w:rsidRPr="00F22D91">
        <w:rPr>
          <w:sz w:val="28"/>
          <w:szCs w:val="28"/>
        </w:rPr>
        <w:t>4</w:t>
      </w:r>
      <w:r w:rsidR="00740A30" w:rsidRPr="00F22D91">
        <w:rPr>
          <w:sz w:val="28"/>
          <w:szCs w:val="28"/>
        </w:rPr>
        <w:t xml:space="preserve"> № </w:t>
      </w:r>
      <w:r w:rsidR="00E458D8" w:rsidRPr="00F22D91">
        <w:rPr>
          <w:sz w:val="28"/>
          <w:szCs w:val="28"/>
        </w:rPr>
        <w:t>255</w:t>
      </w:r>
      <w:r w:rsidR="005B3B86" w:rsidRPr="00F22D91">
        <w:rPr>
          <w:sz w:val="28"/>
          <w:szCs w:val="28"/>
        </w:rPr>
        <w:t xml:space="preserve"> </w:t>
      </w:r>
      <w:r w:rsidR="00DA1868" w:rsidRPr="00F22D91">
        <w:rPr>
          <w:sz w:val="28"/>
          <w:szCs w:val="28"/>
        </w:rPr>
        <w:t>(далее – Положение о бюджетном процессе)</w:t>
      </w:r>
      <w:r w:rsidR="00740A30" w:rsidRPr="00F22D91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>по результатам проверки годового отчета об исполне</w:t>
      </w:r>
      <w:r w:rsidR="00740A30" w:rsidRPr="00F22D91">
        <w:rPr>
          <w:sz w:val="28"/>
          <w:szCs w:val="28"/>
        </w:rPr>
        <w:t>нии ме</w:t>
      </w:r>
      <w:r w:rsidRPr="00F22D91">
        <w:rPr>
          <w:sz w:val="28"/>
          <w:szCs w:val="28"/>
        </w:rPr>
        <w:t>стного бюджета за 201</w:t>
      </w:r>
      <w:r w:rsidR="00FA1882" w:rsidRPr="00F22D91">
        <w:rPr>
          <w:sz w:val="28"/>
          <w:szCs w:val="28"/>
        </w:rPr>
        <w:t>9</w:t>
      </w:r>
      <w:r w:rsidRPr="00F22D91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F22D91">
        <w:rPr>
          <w:spacing w:val="-1"/>
          <w:sz w:val="28"/>
          <w:szCs w:val="28"/>
        </w:rPr>
        <w:t>одновременно с го</w:t>
      </w:r>
      <w:r w:rsidR="00740A30" w:rsidRPr="00F22D91">
        <w:rPr>
          <w:spacing w:val="-1"/>
          <w:sz w:val="28"/>
          <w:szCs w:val="28"/>
        </w:rPr>
        <w:t>довым отчетом об исполнении ме</w:t>
      </w:r>
      <w:r w:rsidRPr="00F22D91">
        <w:rPr>
          <w:spacing w:val="-1"/>
          <w:sz w:val="28"/>
          <w:szCs w:val="28"/>
        </w:rPr>
        <w:t xml:space="preserve">стного бюджета, направленного </w:t>
      </w:r>
      <w:r w:rsidR="00FA1882" w:rsidRPr="00F22D91">
        <w:rPr>
          <w:spacing w:val="-1"/>
          <w:sz w:val="28"/>
          <w:szCs w:val="28"/>
        </w:rPr>
        <w:t>А</w:t>
      </w:r>
      <w:r w:rsidR="00740A30" w:rsidRPr="00F22D91">
        <w:rPr>
          <w:spacing w:val="-1"/>
          <w:sz w:val="28"/>
          <w:szCs w:val="28"/>
        </w:rPr>
        <w:t xml:space="preserve">дминистрацией </w:t>
      </w:r>
      <w:r w:rsidR="005531FB" w:rsidRPr="00F22D91">
        <w:rPr>
          <w:sz w:val="28"/>
          <w:szCs w:val="28"/>
        </w:rPr>
        <w:t xml:space="preserve">Нийского </w:t>
      </w:r>
      <w:r w:rsidR="009738C5" w:rsidRPr="00F22D91">
        <w:rPr>
          <w:sz w:val="28"/>
          <w:szCs w:val="28"/>
        </w:rPr>
        <w:t>муниципального образования</w:t>
      </w:r>
      <w:r w:rsidR="00740A30" w:rsidRPr="00F22D91">
        <w:rPr>
          <w:spacing w:val="-1"/>
          <w:sz w:val="28"/>
          <w:szCs w:val="28"/>
        </w:rPr>
        <w:t xml:space="preserve"> </w:t>
      </w:r>
      <w:r w:rsidR="00740A30" w:rsidRPr="00F22D91">
        <w:rPr>
          <w:sz w:val="28"/>
          <w:szCs w:val="28"/>
        </w:rPr>
        <w:t xml:space="preserve">письмом от </w:t>
      </w:r>
      <w:r w:rsidR="00FA1882" w:rsidRPr="00F22D91">
        <w:rPr>
          <w:sz w:val="28"/>
          <w:szCs w:val="28"/>
        </w:rPr>
        <w:t>30</w:t>
      </w:r>
      <w:r w:rsidR="00740A30" w:rsidRPr="00F22D91">
        <w:rPr>
          <w:sz w:val="28"/>
          <w:szCs w:val="28"/>
        </w:rPr>
        <w:t>.0</w:t>
      </w:r>
      <w:r w:rsidR="002D75D8" w:rsidRPr="00F22D91">
        <w:rPr>
          <w:sz w:val="28"/>
          <w:szCs w:val="28"/>
        </w:rPr>
        <w:t>3</w:t>
      </w:r>
      <w:r w:rsidR="00740A30" w:rsidRPr="00F22D91">
        <w:rPr>
          <w:sz w:val="28"/>
          <w:szCs w:val="28"/>
        </w:rPr>
        <w:t>.20</w:t>
      </w:r>
      <w:r w:rsidR="00FA1882" w:rsidRPr="00F22D91">
        <w:rPr>
          <w:sz w:val="28"/>
          <w:szCs w:val="28"/>
        </w:rPr>
        <w:t>20</w:t>
      </w:r>
      <w:r w:rsidRPr="00F22D91">
        <w:rPr>
          <w:sz w:val="28"/>
          <w:szCs w:val="28"/>
        </w:rPr>
        <w:t xml:space="preserve"> № </w:t>
      </w:r>
      <w:r w:rsidR="00FA1882" w:rsidRPr="00F22D91">
        <w:rPr>
          <w:sz w:val="28"/>
          <w:szCs w:val="28"/>
        </w:rPr>
        <w:t>155</w:t>
      </w:r>
      <w:r w:rsidR="00456C00" w:rsidRPr="00F22D91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>в адрес КС</w:t>
      </w:r>
      <w:r w:rsidR="00E37B43" w:rsidRPr="00F22D91">
        <w:rPr>
          <w:sz w:val="28"/>
          <w:szCs w:val="28"/>
        </w:rPr>
        <w:t>К УКМО</w:t>
      </w:r>
      <w:r w:rsidR="00C6015A" w:rsidRPr="00F22D91">
        <w:rPr>
          <w:sz w:val="28"/>
          <w:szCs w:val="28"/>
        </w:rPr>
        <w:t>.</w:t>
      </w:r>
    </w:p>
    <w:p w:rsidR="006C05BE" w:rsidRPr="00F22D91" w:rsidRDefault="006C05BE" w:rsidP="006C05BE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2D91">
        <w:rPr>
          <w:sz w:val="28"/>
          <w:szCs w:val="28"/>
        </w:rPr>
        <w:t>Внешняя проверка проведена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комиссии Усть-Кутского муниципального образования, Соглашение о передаче полномочий по осуществлению внешнего муниципального образования финансового контроля № 01-16д/4 от 21.11.2016. Плана работы Контрольно-счетной комиссии Усть-Кутского муниципального образования (далее – КСК УКМО) на 2020 год, распоряжения председателя КСК УКМО от 06.04.2020 № 30-п, инспектором Евгенией Васильевной Мокрецовой в период с 08 апреля по 16 апреля 2019 года.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CC38E1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CC38E1">
        <w:rPr>
          <w:sz w:val="28"/>
          <w:szCs w:val="28"/>
        </w:rPr>
        <w:t xml:space="preserve">бюджета явилось установление достоверности показателей </w:t>
      </w:r>
      <w:r w:rsidRPr="00CC38E1">
        <w:rPr>
          <w:spacing w:val="-1"/>
          <w:sz w:val="28"/>
          <w:szCs w:val="28"/>
        </w:rPr>
        <w:t xml:space="preserve">годового отчета об исполнении бюджета </w:t>
      </w:r>
      <w:r w:rsidRPr="00CC38E1">
        <w:rPr>
          <w:sz w:val="28"/>
          <w:szCs w:val="28"/>
        </w:rPr>
        <w:t>Нийского муниципального образования за 2019 год, соответствие исполнения бюдже</w:t>
      </w:r>
      <w:r w:rsidR="00CC38E1" w:rsidRPr="00CC38E1">
        <w:rPr>
          <w:sz w:val="28"/>
          <w:szCs w:val="28"/>
        </w:rPr>
        <w:t>та принятому решению о бюджете, а также определение полноты отраже</w:t>
      </w:r>
      <w:r w:rsidR="00CC38E1" w:rsidRPr="00CC38E1">
        <w:rPr>
          <w:spacing w:val="-1"/>
          <w:sz w:val="28"/>
          <w:szCs w:val="28"/>
        </w:rPr>
        <w:t xml:space="preserve">ния показателей годовой бюджетной отчетности и соответствия порядка </w:t>
      </w:r>
      <w:r w:rsidR="00CC38E1" w:rsidRPr="00CC38E1">
        <w:rPr>
          <w:spacing w:val="-1"/>
          <w:sz w:val="28"/>
          <w:szCs w:val="28"/>
        </w:rPr>
        <w:lastRenderedPageBreak/>
        <w:t>ве</w:t>
      </w:r>
      <w:r w:rsidR="00CC38E1" w:rsidRPr="00CC38E1">
        <w:rPr>
          <w:sz w:val="28"/>
          <w:szCs w:val="28"/>
        </w:rPr>
        <w:t>дения бюджетного учета Нийского муниципального образования законодательству РФ.</w:t>
      </w:r>
    </w:p>
    <w:p w:rsidR="006C05BE" w:rsidRPr="00F22D91" w:rsidRDefault="006C05BE" w:rsidP="006C05BE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Объектом проверки является Администрация Нийского муниципального </w:t>
      </w:r>
      <w:r w:rsidR="00CC38E1" w:rsidRPr="00F22D91">
        <w:rPr>
          <w:sz w:val="28"/>
          <w:szCs w:val="28"/>
        </w:rPr>
        <w:t>образование</w:t>
      </w:r>
      <w:r w:rsidRPr="00F22D91">
        <w:rPr>
          <w:sz w:val="28"/>
          <w:szCs w:val="28"/>
        </w:rPr>
        <w:t>.</w:t>
      </w:r>
    </w:p>
    <w:p w:rsidR="006C05BE" w:rsidRPr="00F22D91" w:rsidRDefault="006C05BE" w:rsidP="006C05BE">
      <w:pPr>
        <w:pStyle w:val="af0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2D91">
        <w:rPr>
          <w:sz w:val="28"/>
          <w:szCs w:val="28"/>
        </w:rPr>
        <w:t>Предметом настоящей проверки являлась годовая бюджетная отчетность, представленная в соответствии с нормами п. 3 статьи 264.1 Бюджетного кодекса Российской Федерации в составе форм, предусмотренных п. 11.2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 191н (далее Инструкция №191н).</w:t>
      </w:r>
    </w:p>
    <w:p w:rsidR="00CC38E1" w:rsidRPr="00F22D91" w:rsidRDefault="00CC38E1" w:rsidP="00CC38E1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Акт составлен в 2-х экземплярах. Первый экземпляр акта является принадлежностью КСК УКМО, второй – Нийс</w:t>
      </w:r>
      <w:r>
        <w:rPr>
          <w:sz w:val="28"/>
          <w:szCs w:val="28"/>
        </w:rPr>
        <w:t>кого муниципального образования.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Ответственными должностными лицами за подготовку и представление бюджетной отчетности за 2019 год являлись Глава Администрации Нийского муниципального образования Олег Евгеньевич Рубцов (Распоряжение Администрации Нийского муниципального образования от 17.10.2012 № 46; Распоряжение Администрации Нийского муниципального образования от 22.09.2017 № 54), бухгалтер-кассир 1 категории Елена Владимировна Свизева (Распоряжение Администрации Нийского муниципального образования от 30.05.2019 № 24).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22D91">
        <w:rPr>
          <w:b/>
          <w:bCs/>
          <w:sz w:val="28"/>
          <w:szCs w:val="28"/>
        </w:rPr>
        <w:t>Общие положения</w:t>
      </w:r>
    </w:p>
    <w:p w:rsidR="006C05BE" w:rsidRPr="00F22D91" w:rsidRDefault="006C05BE" w:rsidP="006C05B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C05BE" w:rsidRPr="00F22D91" w:rsidRDefault="006C05BE" w:rsidP="006C05BE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F22D91">
        <w:rPr>
          <w:sz w:val="28"/>
          <w:szCs w:val="28"/>
        </w:rPr>
        <w:t xml:space="preserve">Нийское муниципальное образование </w:t>
      </w:r>
      <w:r w:rsidRPr="00F22D91">
        <w:rPr>
          <w:sz w:val="28"/>
          <w:szCs w:val="28"/>
          <w:lang w:eastAsia="zh-CN"/>
        </w:rPr>
        <w:t>осуществляет свою деятельность на основании принятого в установленном законодательством порядке Устава.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22D91">
        <w:rPr>
          <w:sz w:val="28"/>
          <w:szCs w:val="28"/>
        </w:rPr>
        <w:t xml:space="preserve">Годовой отчет об исполнении бюджета Нийского муниципального образования за 2019 год поступил в КСК УКМО 30.03.2020 года, </w:t>
      </w:r>
      <w:r w:rsidRPr="00F22D91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ст.32 «Положения о бюджетном процессе в </w:t>
      </w:r>
      <w:r w:rsidRPr="00F22D91">
        <w:rPr>
          <w:sz w:val="28"/>
          <w:szCs w:val="28"/>
        </w:rPr>
        <w:t>Нийском</w:t>
      </w:r>
      <w:r w:rsidRPr="00F22D91">
        <w:rPr>
          <w:bCs/>
          <w:spacing w:val="-3"/>
          <w:sz w:val="28"/>
          <w:szCs w:val="28"/>
        </w:rPr>
        <w:t xml:space="preserve"> муниципальном образовании».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Представленные Нийским</w:t>
      </w:r>
      <w:r w:rsidRPr="00F22D91">
        <w:rPr>
          <w:bCs/>
          <w:spacing w:val="-3"/>
          <w:sz w:val="28"/>
          <w:szCs w:val="28"/>
        </w:rPr>
        <w:t xml:space="preserve"> муниципальным образованием одн</w:t>
      </w:r>
      <w:r w:rsidRPr="00F22D91">
        <w:rPr>
          <w:sz w:val="28"/>
          <w:szCs w:val="28"/>
        </w:rPr>
        <w:t>овременно с отчетом об исполнении местного бюджета за 2019 год документы и материалы соответствуют перечню материалов, установленному статьей 264.1 БК РФ.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Порядок осуществления внешней проверки годового отчета об исполнении Нийского муниципального образования утвержден статьей 32,33 «Положения о бюджетном процессе в Нийском муниципальном образовании», утвержденного Решением Думы </w:t>
      </w:r>
      <w:r w:rsidR="00936F2E">
        <w:rPr>
          <w:sz w:val="28"/>
          <w:szCs w:val="28"/>
        </w:rPr>
        <w:t xml:space="preserve">сельского поселения </w:t>
      </w:r>
      <w:r w:rsidRPr="00F22D91">
        <w:rPr>
          <w:sz w:val="28"/>
          <w:szCs w:val="28"/>
        </w:rPr>
        <w:t>от 26.08.2014 № 255.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ходе внешней проверки проанализированы и проверены следующие объекты бюджетного учета исполнения местного бюджета:</w:t>
      </w:r>
    </w:p>
    <w:p w:rsidR="006C05BE" w:rsidRPr="00F22D91" w:rsidRDefault="006C05BE" w:rsidP="006C05BE">
      <w:pPr>
        <w:numPr>
          <w:ilvl w:val="0"/>
          <w:numId w:val="5"/>
        </w:num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доходы и расходы местного бюджета;</w:t>
      </w:r>
    </w:p>
    <w:p w:rsidR="006C05BE" w:rsidRPr="00F22D91" w:rsidRDefault="006C05BE" w:rsidP="006C05BE">
      <w:pPr>
        <w:numPr>
          <w:ilvl w:val="0"/>
          <w:numId w:val="5"/>
        </w:num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средства на счетах местного бюджета;</w:t>
      </w:r>
    </w:p>
    <w:p w:rsidR="006C05BE" w:rsidRPr="00F22D91" w:rsidRDefault="006C05BE" w:rsidP="006C05BE">
      <w:pPr>
        <w:shd w:val="clear" w:color="auto" w:fill="FFFFFF"/>
        <w:tabs>
          <w:tab w:val="left" w:pos="691"/>
        </w:tabs>
        <w:ind w:left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источники финансирования дефицита местного бюджета.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соответствии со статьей 264.4 Бюджетного кодекса РФ годовой отчет об исполнении бюджета Нийского муниципального образования, </w:t>
      </w:r>
      <w:r w:rsidR="00B45FF9">
        <w:rPr>
          <w:sz w:val="28"/>
          <w:szCs w:val="28"/>
        </w:rPr>
        <w:t xml:space="preserve">до </w:t>
      </w:r>
      <w:r w:rsidRPr="00F22D91">
        <w:rPr>
          <w:sz w:val="28"/>
          <w:szCs w:val="28"/>
        </w:rPr>
        <w:t xml:space="preserve">его рассмотрения в законодательном (представительном) органе подлежит внешней проверке, которая включает внешнюю проверку бюджетной отчетности главного распорядителя </w:t>
      </w:r>
      <w:r w:rsidRPr="00F22D91">
        <w:rPr>
          <w:sz w:val="28"/>
          <w:szCs w:val="28"/>
        </w:rPr>
        <w:lastRenderedPageBreak/>
        <w:t>бюджетных средств и подготовку заключения на годовой отчет об исполнении бюджета Нийского муниципального образования.</w:t>
      </w:r>
    </w:p>
    <w:p w:rsidR="006C05BE" w:rsidRPr="00F22D91" w:rsidRDefault="006C05BE" w:rsidP="006C05BE">
      <w:pPr>
        <w:shd w:val="clear" w:color="auto" w:fill="FFFFFF"/>
        <w:ind w:firstLine="709"/>
        <w:jc w:val="both"/>
      </w:pPr>
      <w:r w:rsidRPr="00F22D91">
        <w:rPr>
          <w:sz w:val="28"/>
          <w:szCs w:val="28"/>
        </w:rPr>
        <w:t>Задачами настоящей внешней проверки явились:</w:t>
      </w:r>
    </w:p>
    <w:p w:rsidR="006C05BE" w:rsidRPr="00F22D91" w:rsidRDefault="006C05BE" w:rsidP="006C05BE">
      <w:pPr>
        <w:numPr>
          <w:ilvl w:val="0"/>
          <w:numId w:val="12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определение соблюдения единого порядка составления и представле</w:t>
      </w:r>
      <w:r w:rsidRPr="00F22D91">
        <w:rPr>
          <w:spacing w:val="-1"/>
          <w:sz w:val="28"/>
          <w:szCs w:val="28"/>
        </w:rPr>
        <w:t>ния бюджетной отчетности муниципальным образованием;</w:t>
      </w:r>
    </w:p>
    <w:p w:rsidR="006C05BE" w:rsidRPr="00F22D91" w:rsidRDefault="006C05BE" w:rsidP="006C05BE">
      <w:pPr>
        <w:numPr>
          <w:ilvl w:val="0"/>
          <w:numId w:val="13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F22D91">
        <w:rPr>
          <w:spacing w:val="-1"/>
          <w:sz w:val="28"/>
          <w:szCs w:val="28"/>
        </w:rPr>
        <w:t>установление правильности и достоверности бюджетного учета и от</w:t>
      </w:r>
      <w:r w:rsidRPr="00F22D91">
        <w:rPr>
          <w:sz w:val="28"/>
          <w:szCs w:val="28"/>
        </w:rPr>
        <w:t>четности по исполнению местного бюджета;</w:t>
      </w:r>
    </w:p>
    <w:p w:rsidR="006C05BE" w:rsidRPr="00F22D91" w:rsidRDefault="006C05BE" w:rsidP="006C05BE">
      <w:pPr>
        <w:numPr>
          <w:ilvl w:val="0"/>
          <w:numId w:val="13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сопоставление отчетных данных по исполнению местного бюджета с показателями утвержденного бюджета;</w:t>
      </w:r>
    </w:p>
    <w:p w:rsidR="006C05BE" w:rsidRPr="00F22D91" w:rsidRDefault="006C05BE" w:rsidP="006C05BE">
      <w:pPr>
        <w:numPr>
          <w:ilvl w:val="0"/>
          <w:numId w:val="13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22D91">
        <w:rPr>
          <w:spacing w:val="-2"/>
          <w:sz w:val="28"/>
          <w:szCs w:val="28"/>
        </w:rPr>
        <w:t xml:space="preserve">сопоставление отчетных показателей по исполнению местного бюджета с показателями сводной бюджетной отчетности главных распорядителей </w:t>
      </w:r>
      <w:r w:rsidRPr="00F22D91">
        <w:rPr>
          <w:sz w:val="28"/>
          <w:szCs w:val="28"/>
        </w:rPr>
        <w:t>бюджетных средств;</w:t>
      </w:r>
    </w:p>
    <w:p w:rsidR="006C05BE" w:rsidRPr="00F22D91" w:rsidRDefault="006C05BE" w:rsidP="006C05BE">
      <w:pPr>
        <w:numPr>
          <w:ilvl w:val="0"/>
          <w:numId w:val="13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22D91">
        <w:rPr>
          <w:spacing w:val="-2"/>
          <w:sz w:val="28"/>
          <w:szCs w:val="28"/>
        </w:rPr>
        <w:t>сопоставление отчетных показателей по исполнению местного бюдже</w:t>
      </w:r>
      <w:r w:rsidRPr="00F22D91">
        <w:rPr>
          <w:sz w:val="28"/>
          <w:szCs w:val="28"/>
        </w:rPr>
        <w:t>та с данными бюджетного учета.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ходе внешней проверки годового отчета по исполнению местного бюджета, бюджетной отчетности главного администратора бюджетных средств за 2019 год исследовалось соблюдение бюджетного законодательства РФ, в том числе Приказа Минфина РФ от 16.12.2010 № 174н «Об утверждении Плана счетов бухгалтерского учета бюджетных учреждений и </w:t>
      </w:r>
      <w:r w:rsidR="001C1E3A">
        <w:rPr>
          <w:sz w:val="28"/>
          <w:szCs w:val="28"/>
        </w:rPr>
        <w:t>и</w:t>
      </w:r>
      <w:r w:rsidRPr="00F22D91">
        <w:rPr>
          <w:sz w:val="28"/>
          <w:szCs w:val="28"/>
        </w:rPr>
        <w:t>нструкции по его применению», Приказа Минфина РФ от 06.12.2010 № 162н «Об утверждении Плана счетов бюджетного учета и Инструкции по его применению»,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191н.</w:t>
      </w:r>
    </w:p>
    <w:p w:rsidR="006C05BE" w:rsidRPr="00F22D91" w:rsidRDefault="006C05BE" w:rsidP="006C05BE">
      <w:pPr>
        <w:ind w:firstLine="709"/>
        <w:jc w:val="both"/>
        <w:rPr>
          <w:b/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F22D91">
        <w:rPr>
          <w:b/>
          <w:bCs/>
          <w:sz w:val="28"/>
          <w:szCs w:val="28"/>
        </w:rPr>
        <w:t xml:space="preserve">Соблюдение требований бюджетного законодательства, </w:t>
      </w:r>
      <w:r w:rsidRPr="00F22D91">
        <w:rPr>
          <w:b/>
          <w:bCs/>
          <w:spacing w:val="-2"/>
          <w:sz w:val="28"/>
          <w:szCs w:val="28"/>
        </w:rPr>
        <w:t xml:space="preserve">регулирующих порядок осуществления бюджетных процедур. </w:t>
      </w:r>
      <w:r w:rsidRPr="00F22D91">
        <w:rPr>
          <w:b/>
          <w:bCs/>
          <w:spacing w:val="-1"/>
          <w:sz w:val="28"/>
          <w:szCs w:val="28"/>
        </w:rPr>
        <w:t xml:space="preserve">Реализация бюджетных полномочий участниками </w:t>
      </w:r>
      <w:r w:rsidRPr="00F22D91">
        <w:rPr>
          <w:b/>
          <w:bCs/>
          <w:spacing w:val="-2"/>
          <w:sz w:val="28"/>
          <w:szCs w:val="28"/>
        </w:rPr>
        <w:t>бюджетного процесса</w:t>
      </w:r>
    </w:p>
    <w:p w:rsidR="006C05BE" w:rsidRPr="00F22D91" w:rsidRDefault="006C05BE" w:rsidP="006C05B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pacing w:val="-1"/>
          <w:sz w:val="28"/>
          <w:szCs w:val="28"/>
        </w:rPr>
        <w:t xml:space="preserve">Вопросы организации исполнения бюджета Нийского муниципального образования регулируются Уставом Нийского муниципального образования, утвержденного решением Думы от 20.12.2005 № 9, «Положением о </w:t>
      </w:r>
      <w:r w:rsidRPr="00F22D91">
        <w:rPr>
          <w:sz w:val="28"/>
          <w:szCs w:val="28"/>
        </w:rPr>
        <w:t>бюджетном процессе в Нийском муниципальном образовании», утвержденным решением Думы от 26.08.2014 № 255.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Для кассового обслуживания исполнения местного бюджета открыты следующие счета:</w:t>
      </w:r>
    </w:p>
    <w:p w:rsidR="006C05BE" w:rsidRPr="00F22D91" w:rsidRDefault="006C05BE" w:rsidP="006C05BE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лицевой счет 02343008930 главного распорядителя (распорядителя) бюджетных средств на балансовом счете 40204810300000000123, открытом для УФК по Иркутской области в отделение Иркутск г. Иркутск;</w:t>
      </w:r>
    </w:p>
    <w:p w:rsidR="006C05BE" w:rsidRPr="00F22D91" w:rsidRDefault="006C05BE" w:rsidP="006C05BE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лицевой счет 04343008930 администратора доходов бюджета на балансовом счете 40101810900000010001, открытом для УФК по Иркутской области в отделение Иркутск г. Иркутск;</w:t>
      </w:r>
    </w:p>
    <w:p w:rsidR="006C05BE" w:rsidRPr="00F22D91" w:rsidRDefault="006C05BE" w:rsidP="006C05BE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лицевой счет 05343008930 для учета операций со средствами, поступающими во временное распоряжение получателя бюджетных средств на балансовом счете 40302810800003000027, открытом для УФК по Иркутской области в отделение </w:t>
      </w:r>
      <w:r w:rsidRPr="00F22D91">
        <w:rPr>
          <w:sz w:val="28"/>
          <w:szCs w:val="28"/>
        </w:rPr>
        <w:lastRenderedPageBreak/>
        <w:t>Иркутск г. Иркутск;</w:t>
      </w:r>
    </w:p>
    <w:p w:rsidR="006C05BE" w:rsidRPr="00F22D91" w:rsidRDefault="006C05BE" w:rsidP="006C05BE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лицевой счет 06343008930 главного администратора источников внутреннего финансирования дефицита бюджета на балансовом счете 40204810300000000123, открытом для УФК по Иркутской области в отделение Иркутск г. Иркутск</w:t>
      </w:r>
    </w:p>
    <w:p w:rsidR="006C05BE" w:rsidRPr="00F22D91" w:rsidRDefault="006C05BE" w:rsidP="006C05BE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лицевой счет 08343008930 администратора источников внутреннего финансирования дефицита бюджета на балансовом счете 40204810300000000123, открытом для УФК по Иркутской области в отделение Иркутск г. Иркутск;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соответствии со статьями 217 и 219.1 БК РФ, на основании «Порядка составления и ведения сводной бюджетной росписи бюджета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 xml:space="preserve">муниципального образования», утвержденного Постановлением Администрации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 xml:space="preserve">муниципального образования от 18.07.2017 № 43-п </w:t>
      </w:r>
      <w:r w:rsidRPr="00F22D91">
        <w:rPr>
          <w:spacing w:val="-1"/>
          <w:sz w:val="28"/>
          <w:szCs w:val="28"/>
        </w:rPr>
        <w:t xml:space="preserve">Нийское </w:t>
      </w:r>
      <w:r w:rsidRPr="00F22D91">
        <w:rPr>
          <w:sz w:val="28"/>
          <w:szCs w:val="28"/>
        </w:rPr>
        <w:t xml:space="preserve">муниципальное образование </w:t>
      </w:r>
      <w:r w:rsidRPr="00F22D91">
        <w:rPr>
          <w:spacing w:val="-1"/>
          <w:sz w:val="28"/>
          <w:szCs w:val="28"/>
        </w:rPr>
        <w:t>составляет сводную бюджетную роспись местного бюджета и вносит изменения в нее</w:t>
      </w:r>
      <w:r w:rsidRPr="00F22D91">
        <w:rPr>
          <w:sz w:val="28"/>
          <w:szCs w:val="28"/>
        </w:rPr>
        <w:t>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pacing w:val="-1"/>
          <w:sz w:val="28"/>
          <w:szCs w:val="28"/>
        </w:rPr>
        <w:t xml:space="preserve">Первоначально сводная бюджетная роспись расходов местного бюджета на 2019 </w:t>
      </w:r>
      <w:r w:rsidRPr="00F22D91">
        <w:rPr>
          <w:sz w:val="28"/>
          <w:szCs w:val="28"/>
        </w:rPr>
        <w:t xml:space="preserve">год утверждена Главой Администрации </w:t>
      </w:r>
      <w:r w:rsidRPr="00F22D91">
        <w:rPr>
          <w:spacing w:val="-1"/>
          <w:sz w:val="28"/>
          <w:szCs w:val="28"/>
        </w:rPr>
        <w:t>Нийского муниципального образования</w:t>
      </w:r>
      <w:r w:rsidRPr="00F22D91">
        <w:rPr>
          <w:sz w:val="28"/>
          <w:szCs w:val="28"/>
        </w:rPr>
        <w:t xml:space="preserve"> в соответствии с Решением Думы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 xml:space="preserve">сельского поселения от 27.12.2018 № 359 «О бюджете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>муниципального образования на 2019 год и на плановый период 2020 и 2021 годов».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22D91">
        <w:rPr>
          <w:sz w:val="28"/>
          <w:szCs w:val="28"/>
        </w:rPr>
        <w:t xml:space="preserve">В состав сводной бюджетной росписи включены роспись расходов местного бюджета в разрезе ведомственной структуры расходов местного бюджета, а также роспись источников финансирования дефицита местного бюджета в разрезе главных администраторов </w:t>
      </w:r>
      <w:r w:rsidRPr="00F22D91">
        <w:rPr>
          <w:spacing w:val="-1"/>
          <w:sz w:val="28"/>
          <w:szCs w:val="28"/>
        </w:rPr>
        <w:t xml:space="preserve">источников финансирования дефицита местного бюджета.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pacing w:val="-1"/>
          <w:sz w:val="28"/>
          <w:szCs w:val="28"/>
        </w:rPr>
        <w:t>Показатели сводной бюд</w:t>
      </w:r>
      <w:r w:rsidRPr="00F22D91">
        <w:rPr>
          <w:sz w:val="28"/>
          <w:szCs w:val="28"/>
        </w:rPr>
        <w:t xml:space="preserve">жетной росписи по расходам утверждены в сумме 13 572 080,60 рублей, что соответствует объему расходов местного бюджета, утвержденному Решением Думы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 xml:space="preserve">сельского поселения от 27.12.2018 № 359 «О бюджете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>муниципального образования на 2019 год и на плановый период 2020 и 2021 годов».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соответствии с пунктом 3 статьи 217 БК РФ, в сводную бюджетную роспись в течение года </w:t>
      </w:r>
      <w:r w:rsidRPr="00F22D91">
        <w:rPr>
          <w:spacing w:val="-1"/>
          <w:sz w:val="28"/>
          <w:szCs w:val="28"/>
        </w:rPr>
        <w:t xml:space="preserve">Нийским </w:t>
      </w:r>
      <w:r w:rsidRPr="00F22D91">
        <w:rPr>
          <w:sz w:val="28"/>
          <w:szCs w:val="28"/>
        </w:rPr>
        <w:t xml:space="preserve">муниципальным образованием вносились уточнения показателей сводной бюджетной росписи.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окончательной редакции сводная бюджетная роспись утверждена Главой Администрации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 xml:space="preserve">муниципального образования 27.12.2018 года в соответствии с Решением Думы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 xml:space="preserve">сельского поселения от 27.12.2019 № 382 «О внесении изменений и дополнений в Решение Думы </w:t>
      </w:r>
      <w:r w:rsidRPr="00F22D91">
        <w:rPr>
          <w:spacing w:val="-1"/>
          <w:sz w:val="28"/>
          <w:szCs w:val="28"/>
        </w:rPr>
        <w:t xml:space="preserve">Нийского сельского поселения от 27 декабря 2018 года № 359 </w:t>
      </w:r>
      <w:r w:rsidRPr="00F22D91">
        <w:rPr>
          <w:sz w:val="28"/>
          <w:szCs w:val="28"/>
        </w:rPr>
        <w:t xml:space="preserve">«О бюджете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>муниципального образования на 2019 год и на плановый период 2020 и 2021 годов» расходная часть утверждена в объеме 38 875 257,59 рублей.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 xml:space="preserve">Бюджетная отчетность об исполнении бюджета </w:t>
      </w:r>
      <w:r w:rsidRPr="00F22D91">
        <w:rPr>
          <w:b/>
          <w:spacing w:val="-1"/>
          <w:sz w:val="28"/>
          <w:szCs w:val="28"/>
        </w:rPr>
        <w:t xml:space="preserve">Нийского </w:t>
      </w:r>
      <w:r w:rsidRPr="00F22D91">
        <w:rPr>
          <w:b/>
          <w:sz w:val="28"/>
          <w:szCs w:val="28"/>
        </w:rPr>
        <w:t>муниципального образования за 2019 год.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Администрацией Нийского муниципального образования </w:t>
      </w:r>
      <w:r w:rsidRPr="00F22D91">
        <w:rPr>
          <w:spacing w:val="-1"/>
          <w:sz w:val="28"/>
          <w:szCs w:val="28"/>
        </w:rPr>
        <w:t xml:space="preserve">для проведения внешней проверки в КСК УКМО </w:t>
      </w:r>
      <w:r w:rsidRPr="00F22D91">
        <w:rPr>
          <w:sz w:val="28"/>
          <w:szCs w:val="28"/>
        </w:rPr>
        <w:t>представлена бюджетная отчетность за 2019 год в составе форм: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F22D91">
        <w:rPr>
          <w:spacing w:val="-1"/>
          <w:sz w:val="28"/>
          <w:szCs w:val="28"/>
        </w:rPr>
        <w:t>- баланс по поступлениям и выбытиям бюджетных средств (</w:t>
      </w:r>
      <w:r w:rsidRPr="00F22D91">
        <w:rPr>
          <w:sz w:val="28"/>
          <w:szCs w:val="28"/>
        </w:rPr>
        <w:t>форма</w:t>
      </w:r>
      <w:r w:rsidRPr="00F22D91">
        <w:rPr>
          <w:spacing w:val="-1"/>
          <w:sz w:val="28"/>
          <w:szCs w:val="28"/>
        </w:rPr>
        <w:t xml:space="preserve"> 0503140);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F22D91">
        <w:rPr>
          <w:spacing w:val="-1"/>
          <w:sz w:val="28"/>
          <w:szCs w:val="28"/>
        </w:rPr>
        <w:lastRenderedPageBreak/>
        <w:t xml:space="preserve">- баланс исполнения бюджета </w:t>
      </w:r>
      <w:r w:rsidRPr="00F22D91">
        <w:rPr>
          <w:sz w:val="28"/>
          <w:szCs w:val="28"/>
        </w:rPr>
        <w:t>(форма №0503120);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отчет о движении денежных средств (форма 0503123);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F22D91">
          <w:rPr>
            <w:sz w:val="28"/>
            <w:szCs w:val="28"/>
          </w:rPr>
          <w:t>(форма 0503130)</w:t>
        </w:r>
      </w:hyperlink>
      <w:r w:rsidRPr="00F22D91">
        <w:rPr>
          <w:sz w:val="28"/>
          <w:szCs w:val="28"/>
        </w:rPr>
        <w:t>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- справка по консолидируемым расчетам (форма №0503125);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справка по заключению счетов бюджетного учета отчетного финансового года (форма № 0503110);</w:t>
      </w:r>
    </w:p>
    <w:p w:rsidR="006C05BE" w:rsidRPr="00F22D91" w:rsidRDefault="006C05BE" w:rsidP="006C05BE">
      <w:pPr>
        <w:shd w:val="clear" w:color="auto" w:fill="FFFFFF"/>
        <w:tabs>
          <w:tab w:val="left" w:pos="710"/>
        </w:tabs>
        <w:ind w:firstLine="709"/>
        <w:jc w:val="both"/>
        <w:rPr>
          <w:spacing w:val="-13"/>
          <w:sz w:val="28"/>
          <w:szCs w:val="28"/>
        </w:rPr>
      </w:pPr>
      <w:r w:rsidRPr="00F22D91">
        <w:rPr>
          <w:sz w:val="28"/>
          <w:szCs w:val="28"/>
        </w:rPr>
        <w:t>- отчёт об исполнении бюджета (форма 0503117);</w:t>
      </w:r>
    </w:p>
    <w:p w:rsidR="006C05BE" w:rsidRPr="00F22D91" w:rsidRDefault="006C05BE" w:rsidP="006C05BE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- отчет о финансовых результатах деятельности (</w:t>
      </w:r>
      <w:r w:rsidRPr="00F22D91">
        <w:rPr>
          <w:sz w:val="28"/>
          <w:szCs w:val="28"/>
        </w:rPr>
        <w:t>форма</w:t>
      </w:r>
      <w:r w:rsidRPr="00F22D91">
        <w:rPr>
          <w:spacing w:val="-1"/>
          <w:sz w:val="28"/>
          <w:szCs w:val="28"/>
        </w:rPr>
        <w:t xml:space="preserve"> 0503121);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отчёт об исполнении бюджета ГРБС (форма 0503127);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отчёт о бюджетных обязательствах (форма0503128);</w:t>
      </w:r>
    </w:p>
    <w:p w:rsidR="006C05BE" w:rsidRPr="00F22D91" w:rsidRDefault="006C05BE" w:rsidP="006C05BE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пояснительная записка с приложениями (форма 0503160) с приложением форм и таблиц: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F22D91">
        <w:rPr>
          <w:sz w:val="28"/>
          <w:szCs w:val="28"/>
        </w:rPr>
        <w:t>- сведения о количестве подведомственных учреждений (форма 0503161</w:t>
      </w:r>
      <w:r w:rsidRPr="00F22D91">
        <w:rPr>
          <w:i/>
          <w:sz w:val="28"/>
          <w:szCs w:val="28"/>
        </w:rPr>
        <w:t>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сведения об исполнении бюджета (форма0503164);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F22D91">
        <w:rPr>
          <w:spacing w:val="-6"/>
          <w:sz w:val="28"/>
          <w:szCs w:val="28"/>
        </w:rPr>
        <w:t>- сведения о движении нефинансовых активов (</w:t>
      </w:r>
      <w:r w:rsidRPr="00F22D91">
        <w:rPr>
          <w:sz w:val="28"/>
          <w:szCs w:val="28"/>
        </w:rPr>
        <w:t>форма</w:t>
      </w:r>
      <w:r w:rsidRPr="00F22D91">
        <w:rPr>
          <w:spacing w:val="-6"/>
          <w:sz w:val="28"/>
          <w:szCs w:val="28"/>
        </w:rPr>
        <w:t xml:space="preserve"> 0503168);</w:t>
      </w:r>
    </w:p>
    <w:p w:rsidR="006C05BE" w:rsidRPr="00F22D91" w:rsidRDefault="006C05BE" w:rsidP="006C05BE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F22D91">
        <w:rPr>
          <w:spacing w:val="-6"/>
          <w:sz w:val="28"/>
          <w:szCs w:val="28"/>
        </w:rPr>
        <w:t>- сведения по дебиторской и кредиторской задолженности (</w:t>
      </w:r>
      <w:r w:rsidRPr="00F22D91">
        <w:rPr>
          <w:sz w:val="28"/>
          <w:szCs w:val="28"/>
        </w:rPr>
        <w:t>форма</w:t>
      </w:r>
      <w:r w:rsidRPr="00F22D91">
        <w:rPr>
          <w:spacing w:val="-6"/>
          <w:sz w:val="28"/>
          <w:szCs w:val="28"/>
        </w:rPr>
        <w:t xml:space="preserve"> 0503169);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сведения об исполнении судебных решений по денежным обязательствам бюджета (форма 0503295).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таблица №1 «Сведения об основных направлениях деятельности»;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таблица №3 «Сведения об исполнении текстовых статей закона (решений) о бюджете»;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таблица №4 «Сведения об особенностях ведения бюджетного учета»;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таблица №5 «Сведения о результатах мероприятий внутреннего контроля»;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таблица №7 «Сведения о результатах внешнего контрольных мероприятий».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связи с отсутствие показателей не представлены следующие формы: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</w:t>
      </w:r>
      <w:r w:rsidRPr="00F22D91">
        <w:rPr>
          <w:sz w:val="28"/>
          <w:szCs w:val="28"/>
          <w:lang w:val="en-US"/>
        </w:rPr>
        <w:t>c</w:t>
      </w:r>
      <w:r w:rsidRPr="00F22D91">
        <w:rPr>
          <w:sz w:val="28"/>
          <w:szCs w:val="28"/>
        </w:rPr>
        <w:t>ведения о финансовых вложениях получателя бюджетных средств, администратора источников финансирования дефицита бюджета (форма 0503171);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</w:t>
      </w:r>
      <w:r w:rsidRPr="00F22D91">
        <w:rPr>
          <w:sz w:val="28"/>
          <w:szCs w:val="28"/>
          <w:lang w:val="en-US"/>
        </w:rPr>
        <w:t>c</w:t>
      </w:r>
      <w:r w:rsidRPr="00F22D91">
        <w:rPr>
          <w:sz w:val="28"/>
          <w:szCs w:val="28"/>
        </w:rPr>
        <w:t>ведения о государственном (муниципальном) долге, предоставленных бюджетных кредитах (форма 0503172);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</w:t>
      </w:r>
      <w:r w:rsidRPr="00F22D91">
        <w:rPr>
          <w:sz w:val="28"/>
          <w:szCs w:val="28"/>
          <w:lang w:val="en-US"/>
        </w:rPr>
        <w:t>c</w:t>
      </w:r>
      <w:r w:rsidRPr="00F22D91">
        <w:rPr>
          <w:sz w:val="28"/>
          <w:szCs w:val="28"/>
        </w:rPr>
        <w:t>ведения об изменении остатков валюты баланса (форма 0503173);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</w:t>
      </w:r>
      <w:r w:rsidRPr="00F22D91">
        <w:rPr>
          <w:sz w:val="28"/>
          <w:szCs w:val="28"/>
          <w:lang w:val="en-US"/>
        </w:rPr>
        <w:t>c</w:t>
      </w:r>
      <w:r w:rsidRPr="00F22D91">
        <w:rPr>
          <w:sz w:val="28"/>
          <w:szCs w:val="28"/>
        </w:rPr>
        <w:t>ведения об остатках денежных средств на счетах получателя бюджетных средств (форма 0503178);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сведения об исполнении мероприятий в рамках целевых программ (форма 0503166);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таблица №6 «Сведения о проведения инвентаризаций».</w:t>
      </w:r>
    </w:p>
    <w:p w:rsidR="006C05BE" w:rsidRPr="00F22D91" w:rsidRDefault="006C05BE" w:rsidP="006C05BE">
      <w:pPr>
        <w:ind w:firstLine="709"/>
        <w:contextualSpacing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contextualSpacing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Годовая бюджетная отчетность пре</w:t>
      </w:r>
      <w:r w:rsidR="00734A4A">
        <w:rPr>
          <w:sz w:val="28"/>
          <w:szCs w:val="28"/>
        </w:rPr>
        <w:t xml:space="preserve">дставлена к настоящей проверке с </w:t>
      </w:r>
      <w:r w:rsidRPr="00F22D91">
        <w:rPr>
          <w:sz w:val="28"/>
          <w:szCs w:val="28"/>
        </w:rPr>
        <w:t>форм</w:t>
      </w:r>
      <w:r w:rsidR="00734A4A">
        <w:rPr>
          <w:sz w:val="28"/>
          <w:szCs w:val="28"/>
        </w:rPr>
        <w:t>ами</w:t>
      </w:r>
      <w:r w:rsidRPr="00F22D91">
        <w:rPr>
          <w:sz w:val="28"/>
          <w:szCs w:val="28"/>
        </w:rPr>
        <w:t xml:space="preserve"> и таблиц</w:t>
      </w:r>
      <w:r w:rsidR="00734A4A">
        <w:rPr>
          <w:sz w:val="28"/>
          <w:szCs w:val="28"/>
        </w:rPr>
        <w:t>ами</w:t>
      </w:r>
      <w:r w:rsidRPr="00F22D91">
        <w:rPr>
          <w:sz w:val="28"/>
          <w:szCs w:val="28"/>
        </w:rPr>
        <w:t>, предусмотренны</w:t>
      </w:r>
      <w:r w:rsidR="00734A4A">
        <w:rPr>
          <w:sz w:val="28"/>
          <w:szCs w:val="28"/>
        </w:rPr>
        <w:t>ми</w:t>
      </w:r>
      <w:r w:rsidRPr="00F22D91">
        <w:rPr>
          <w:sz w:val="28"/>
          <w:szCs w:val="28"/>
        </w:rPr>
        <w:t xml:space="preserve">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 № 191н (далее – Инструкция № 191н).</w:t>
      </w:r>
    </w:p>
    <w:p w:rsidR="006C05BE" w:rsidRPr="00F22D91" w:rsidRDefault="006C05BE" w:rsidP="006C05BE">
      <w:pPr>
        <w:ind w:firstLine="709"/>
        <w:contextualSpacing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Проверкой правильности оформления форм годовой бюджетной отчетности </w:t>
      </w:r>
      <w:r w:rsidRPr="00F22D91">
        <w:rPr>
          <w:sz w:val="28"/>
          <w:szCs w:val="28"/>
        </w:rPr>
        <w:lastRenderedPageBreak/>
        <w:t>Администрации Нийского муниципального образования за 2019 год в соответствии с требованиями Инструкции 191н установлено, что бюджетная отчетность: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составлена нарастающим итогом в рублях с точностью до второго десятичного знака после запятой, что соответствует (п. 9 Инструкции 191н);</w:t>
      </w:r>
    </w:p>
    <w:p w:rsidR="006C05BE" w:rsidRPr="00F22D91" w:rsidRDefault="006C05BE" w:rsidP="006C05BE">
      <w:pPr>
        <w:widowControl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в нарушение пункта 4 Инструкции 191н представленная без оглавления и сопроводительного письма (описи).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Стоит отметить, что в Пояснительной записке (ф.0503160) ошибочно указана форма 0503295 «Сведения об исполнении судебных решений по денежным обязательствам бюджета» </w:t>
      </w:r>
      <w:r w:rsidR="00734A4A">
        <w:rPr>
          <w:sz w:val="28"/>
          <w:szCs w:val="28"/>
        </w:rPr>
        <w:t xml:space="preserve">с формулировкой - </w:t>
      </w:r>
      <w:r w:rsidRPr="00F22D91">
        <w:rPr>
          <w:sz w:val="28"/>
          <w:szCs w:val="28"/>
        </w:rPr>
        <w:t>«не предоставляется в связи с отсутствием показателей» тогда как форма заполнена и представлена к проверке.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нарушение п. 161 инструкции 191н ф. «Сведения об изменениях бюджетной росписи главного распорядителя бюджетных средств» (форма0503163) к проверке не представлена, в Пояснительной записке информация, поясняющая причины, отсутствует.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ходе настоящей проверки проверено соответствие содержания представленных форм бюджетной отчетности требованиям Инструкции 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r w:rsidRPr="00F22D91">
        <w:rPr>
          <w:spacing w:val="-1"/>
          <w:sz w:val="28"/>
          <w:szCs w:val="28"/>
        </w:rPr>
        <w:t>Нийского</w:t>
      </w:r>
      <w:r w:rsidRPr="00F22D91">
        <w:rPr>
          <w:sz w:val="28"/>
          <w:szCs w:val="28"/>
        </w:rPr>
        <w:t xml:space="preserve"> муниципального образования по доходам и расходам в проекте решения Думы сельского поселения «Отчет об исполнении бюджета </w:t>
      </w:r>
      <w:r w:rsidRPr="00F22D91">
        <w:rPr>
          <w:spacing w:val="-1"/>
          <w:sz w:val="28"/>
          <w:szCs w:val="28"/>
        </w:rPr>
        <w:t xml:space="preserve">Нийского </w:t>
      </w:r>
      <w:r w:rsidRPr="00F22D91">
        <w:rPr>
          <w:sz w:val="28"/>
          <w:szCs w:val="28"/>
        </w:rPr>
        <w:t>муниципального образования за 2019 год».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На начало и конец 201</w:t>
      </w:r>
      <w:r w:rsidR="00734A4A">
        <w:rPr>
          <w:sz w:val="28"/>
          <w:szCs w:val="28"/>
        </w:rPr>
        <w:t>9</w:t>
      </w:r>
      <w:r w:rsidRPr="00F22D91">
        <w:rPr>
          <w:sz w:val="28"/>
          <w:szCs w:val="28"/>
        </w:rPr>
        <w:t xml:space="preserve"> года числилось 2 учреждения, в том числе: «Орган власти» - 1 учреждение; «Культура» - 1 казенное учреждение, что отражено в форме 0503161 согласно Инструкции 191н.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Проверкой установлено следующее: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Баланс по поступлениям и выбытиям бюджетных средств (форма 0503140) на 01.01.2019 сложился в объеме средств, числящихся на едином счете бюджета в сумме 391 038,38 рублей, на 01.01.2020 – 1 170 177,54 рублей или на 779 139,16 рублей больше, чем на начало года.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Валюта Баланса исполнения бюджета (форма 0503120) на начало 2019 года составляла 11 139 137,50 рублей, на конец года – 20 456 771,66 рублей, что на 9 317 634,16 рублей или 183,65 % больше, чем на начало года.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Стоимость «Нефинансовых активов» – ф. 0503120 раздел I стр. 190 (основных средств, нематериальных активов, материальных запасов) на 01.01.2019 составила 10 267 191,88 рублей, на 01.01.2020 – увеличилось на 8 281 035,82 рублей и составила 18 548 227,70 рублей, что подтверждается данными формы 0503168 «Сведения о движении нефинансовых активов»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Стоимость «Финансовых активов» - ф. 0503120 раздела II стр. 340 на 01.01.2019 г. сумма – 871 945,62 рублей на конец года увеличилась на 1 036 598,34 рублей и составила 1 908 543,96 рублей. В том числе: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стр. 210 «Средства на счетах бюджета в органе Федерального казначейства - 020211000» составляла на начало отчетного периода 391 038,38 рублей, на конец года увеличилось на 779 139,16 рублей и составила 1 170 177,54 рублей;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lastRenderedPageBreak/>
        <w:t xml:space="preserve">стр. 250 «Дебиторская задолженность по доходам» - 020500000 составила на начало года 422 554,97 рублей увеличилась на 310 811,45 рублей и составила 733 366,42 рублей;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стр. 260 «Дебиторская задолженность по выплатам» на начало года 58 352,27 рублей на конец года уменьшилась на 53 352,27 тыс. рублей и составила 5 000,00 рублей. Задолженность сложилась по счетам: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0 206 00 000 «Расчеты по выданным авансам» на начало года 2 028,30 рублей на конец года увеличилась на 2 971,7 рублей и составила 5 000,00 рублей.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Просроченной дебиторской и кредиторской задолженности на конец отчетного периода отсутствует, что подтверждает Раздел II ф. 0503169 «Сведения по дебиторской и кредиторской задолженности».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Итого раздел III баланса «Обязательства» на 01.01.2019 составили 722 893,39 рублей на конец года увеличилась на 248 376,25 рублей и составила на 01.01.2020 года – 971 269,64 рублей. Кредиторская задолженность: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по выплатам (стр. 410) по счету 0 302 00 000 в сумме 8 222,35 рублей;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по доходам (стр. 470) по счету 0 205 00 000 в сумме 500 247,29 рублей. «Финансовый результат» </w:t>
      </w:r>
      <w:r w:rsidRPr="00F22D91">
        <w:rPr>
          <w:sz w:val="28"/>
          <w:szCs w:val="28"/>
          <w:lang w:val="en-US"/>
        </w:rPr>
        <w:t>IV</w:t>
      </w:r>
      <w:r w:rsidRPr="00F22D91">
        <w:rPr>
          <w:sz w:val="28"/>
          <w:szCs w:val="28"/>
        </w:rPr>
        <w:t xml:space="preserve"> раздела на начало года составлял 10 025 205,73 рублей, в том числе по бюджетной деятельности 10 025 205,73 рублей, на конец года увеличился на 8 290 118,75 рублей и составил 18 315 324,48 рублей, в том числе по бюджетной деятельности 18 315 324,48 рублей.</w:t>
      </w:r>
    </w:p>
    <w:p w:rsidR="006C05BE" w:rsidRPr="00F22D91" w:rsidRDefault="006C05BE" w:rsidP="006C05BE">
      <w:pPr>
        <w:widowControl/>
        <w:ind w:firstLine="540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Следует отметить, что в представленной главной книге отсутствую обороты текущего финансового года по </w:t>
      </w:r>
      <w:hyperlink r:id="rId10" w:history="1">
        <w:r w:rsidRPr="00F22D91">
          <w:rPr>
            <w:sz w:val="28"/>
            <w:szCs w:val="28"/>
          </w:rPr>
          <w:t>счет</w:t>
        </w:r>
      </w:hyperlink>
      <w:r w:rsidRPr="00F22D91">
        <w:rPr>
          <w:sz w:val="28"/>
          <w:szCs w:val="28"/>
        </w:rPr>
        <w:t xml:space="preserve">у </w:t>
      </w:r>
      <w:r w:rsidRPr="00F22D91">
        <w:rPr>
          <w:bCs/>
          <w:sz w:val="28"/>
          <w:szCs w:val="28"/>
        </w:rPr>
        <w:t>40130 «Финансовый результат прошлых отчетных периодов»</w:t>
      </w:r>
      <w:r w:rsidRPr="00F22D91">
        <w:rPr>
          <w:sz w:val="28"/>
          <w:szCs w:val="28"/>
        </w:rPr>
        <w:t>, который предназначен для учета финансового результата учреждения прошлых отчетных периодов.</w:t>
      </w:r>
    </w:p>
    <w:p w:rsidR="006C05BE" w:rsidRPr="00F22D91" w:rsidRDefault="006C05BE" w:rsidP="006C05BE">
      <w:pPr>
        <w:widowControl/>
        <w:ind w:firstLine="540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Финансовый результат прошлых отчетных периодов формируется путем заключения показателей по счетам финансового результата текущего финансового года (по счетам </w:t>
      </w:r>
      <w:hyperlink r:id="rId11" w:history="1">
        <w:r w:rsidRPr="00F22D91">
          <w:rPr>
            <w:sz w:val="28"/>
            <w:szCs w:val="28"/>
          </w:rPr>
          <w:t>40110</w:t>
        </w:r>
      </w:hyperlink>
      <w:r w:rsidRPr="00F22D91">
        <w:rPr>
          <w:sz w:val="28"/>
          <w:szCs w:val="28"/>
        </w:rPr>
        <w:t xml:space="preserve">, </w:t>
      </w:r>
      <w:hyperlink r:id="rId12" w:history="1">
        <w:r w:rsidRPr="00F22D91">
          <w:rPr>
            <w:sz w:val="28"/>
            <w:szCs w:val="28"/>
          </w:rPr>
          <w:t>40120</w:t>
        </w:r>
      </w:hyperlink>
      <w:r w:rsidRPr="00F22D91">
        <w:rPr>
          <w:sz w:val="28"/>
          <w:szCs w:val="28"/>
        </w:rPr>
        <w:t>) сформированных по итогам деятельности учреждения за финансовый год, и данных по увеличению (уменьшению) финансового результата прошлых отчетных периодов на суммы уценки (дооценки) стоимости объектов нефинансовых активов, начисленной по ним амортизации, полученные в результате переоценки, проведенной в порядке, предусмотренном законодательством Российской Федерации.</w:t>
      </w:r>
    </w:p>
    <w:p w:rsidR="00734A4A" w:rsidRDefault="00734A4A" w:rsidP="006C05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Сделано сопоставление показателей Баланса исполнения бюджета (форма 0503120) и Сведений по кредиторской задолженности (ф.0503169), расхождений не установлено.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Согласно «Справке о наличии имущества и обязательств на забалансовых счетах»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-по счету 01 числится имущество, полученное в пользование в сумме 45 881 735,43 рублей, в том числе: недвижимое имущество в сумме 45 181 735,43 рублей, движимое имущество в сумме 700 000,00 рублей.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по счету 21 основные средства в эксплуатации на начало года числятся в сумме 477 104,00 рубля на конец года увеличение составило на сумму 121 570,00 рублей и составило 598 674,00 рублей.</w:t>
      </w:r>
    </w:p>
    <w:p w:rsidR="00734A4A" w:rsidRDefault="00734A4A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lastRenderedPageBreak/>
        <w:t>Отчет о финансовых результатах деятельности (форма 0503121) отражает показатели финансового результата по операциям по соответствующим КОСГУ в разрезе бюджетной деятельности: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доходы (стр.010) составили 37 941 956,95 рублей;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расходы (стр.150) составили 28 872 699,04 рублей;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чистый операционный результат (стр. 300) составил 9 069 257,91 рублей;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по операциям с нефинансовыми активами и обязательствами (стр.310) – 8 281 035,82 рублей;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по операциям с финансовыми активами и обязательствами (стр.410) – 788 222,09 рублей;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чистое поступление средств на счета бюджетов по бюджетной деятельности (стр.420) – 627 468,97 рублей;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чистое увеличение прочей дебиторской задолженности (стр.480) – (минус) 151 670,19 рублей;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чистое увеличение прочей кредиторской задолженности (стр.540) – (минус) 623 553,12 рублей.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Данные по строкам 361,362 ф.0503121 соответствуют данным по строке 190 ф. 0503168.</w:t>
      </w:r>
    </w:p>
    <w:p w:rsidR="006C05BE" w:rsidRPr="00F22D91" w:rsidRDefault="006C05BE" w:rsidP="006C0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ходе анализа показателей Отчета о финансовых результатах деятельности (ф. 0503121) по кодам КОСГУ установлено, что в целом принятые бюджетные обязательства не превышают доведенных объемов лимитов бюджетных обязательств по кодам КОСГУ, что соответствует требованиям пункта 3 статьи 219 Бюджетного кодекса РФ.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Отчет об исполнении бюджета </w:t>
      </w:r>
      <w:r w:rsidRPr="00F22D91">
        <w:rPr>
          <w:spacing w:val="-1"/>
          <w:sz w:val="28"/>
          <w:szCs w:val="28"/>
        </w:rPr>
        <w:t>Нийского</w:t>
      </w:r>
      <w:r w:rsidRPr="00F22D91">
        <w:rPr>
          <w:sz w:val="28"/>
          <w:szCs w:val="28"/>
        </w:rPr>
        <w:t xml:space="preserve"> муниципального образования (ф.0503117) составлен на основании данных Отчета о кассовом поступлении и выбытии бюджетных средств (ф. 0503127) – доходы исполнены 38 407 732,33 рублей при плане 38 484 219,21 рублей, расходы – 37 628 593,17 рублей при плане 38 875 257,59 рублей.</w:t>
      </w:r>
    </w:p>
    <w:p w:rsidR="006C05BE" w:rsidRPr="00F22D91" w:rsidRDefault="006C05BE" w:rsidP="006C0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Отчет об исполнении бюджета ГРБС (ф. 0503127) достоверно отражает объем бюджетных ассигнований и лимитов бюджетных обязательств, утвержденных решением о бюджете Нийского муниципального образования на 2019 год.</w:t>
      </w:r>
    </w:p>
    <w:p w:rsidR="006C05BE" w:rsidRPr="00F22D91" w:rsidRDefault="006C05BE" w:rsidP="006C0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Согласно ф. 0503140 «Баланс по поступлениям и выбытиям бюджетных средств» средства на счетах бюджета в органе Федерального казначейства (202 10000) на начало года числилось в сумме 391 038,38 рублей на конец отчетного периода числится в сумме 1 170 177,54 рублей, что подтверждается главной книгой, однако ф 0503178 «Сведения об остатках денежных средств на счетах получателя бюджетных средств» не предоставлена, а в Пояснительной записке (ф.0503160) указано </w:t>
      </w:r>
      <w:r w:rsidR="00734A4A">
        <w:rPr>
          <w:sz w:val="28"/>
          <w:szCs w:val="28"/>
        </w:rPr>
        <w:t>–</w:t>
      </w:r>
      <w:r w:rsidRPr="00F22D91">
        <w:rPr>
          <w:sz w:val="28"/>
          <w:szCs w:val="28"/>
        </w:rPr>
        <w:t xml:space="preserve"> </w:t>
      </w:r>
      <w:r w:rsidR="00734A4A">
        <w:rPr>
          <w:sz w:val="28"/>
          <w:szCs w:val="28"/>
        </w:rPr>
        <w:t>«</w:t>
      </w:r>
      <w:r w:rsidRPr="00F22D91">
        <w:rPr>
          <w:sz w:val="28"/>
          <w:szCs w:val="28"/>
        </w:rPr>
        <w:t>не предоставлена в связи с отсутствием числовых значений (отсутствие остатков денежных средств на счетах получателя</w:t>
      </w:r>
      <w:r w:rsidR="00734A4A">
        <w:rPr>
          <w:sz w:val="28"/>
          <w:szCs w:val="28"/>
        </w:rPr>
        <w:t>»</w:t>
      </w:r>
      <w:r w:rsidRPr="00F22D91">
        <w:rPr>
          <w:sz w:val="28"/>
          <w:szCs w:val="28"/>
        </w:rPr>
        <w:t>)</w:t>
      </w:r>
      <w:r w:rsidR="00734A4A">
        <w:rPr>
          <w:sz w:val="28"/>
          <w:szCs w:val="28"/>
        </w:rPr>
        <w:t>.</w:t>
      </w:r>
    </w:p>
    <w:p w:rsidR="006C05BE" w:rsidRPr="00F22D91" w:rsidRDefault="006C05BE" w:rsidP="006C05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ходе анализа показателей отчета о принятых бюджетных обязательствах (ф. 0503128) на 01.01.20</w:t>
      </w:r>
      <w:r w:rsidR="00734A4A">
        <w:rPr>
          <w:sz w:val="28"/>
          <w:szCs w:val="28"/>
        </w:rPr>
        <w:t>20</w:t>
      </w:r>
      <w:r w:rsidRPr="00F22D91">
        <w:rPr>
          <w:sz w:val="28"/>
          <w:szCs w:val="28"/>
        </w:rPr>
        <w:t xml:space="preserve"> установлено, что показатели гр. 4,5,10 отчета (ф. 0503128) сопоставимы с показателями отчета гр. 4,5,9 отчета (ф. 0503127).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Следует отметить, что в нарушение п.70, 72.1 Инструкции 191н ф.0503128 графа 11, 12 заполнена не верно, так как в поселении имеется дебиторская, </w:t>
      </w:r>
      <w:r w:rsidRPr="00F22D91">
        <w:rPr>
          <w:sz w:val="28"/>
          <w:szCs w:val="28"/>
        </w:rPr>
        <w:lastRenderedPageBreak/>
        <w:t>кредиторская задолженность по счетам по состоянию на 01.01.2020 года.</w:t>
      </w:r>
    </w:p>
    <w:p w:rsidR="006C05BE" w:rsidRPr="00F22D91" w:rsidRDefault="006C05BE" w:rsidP="006C0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Достоверность графы 7 ф. 0503128 «Принятые бюджетные обязательства», где отражаются показатели по балансовому счету 0</w:t>
      </w:r>
      <w:r w:rsidR="00734A4A">
        <w:rPr>
          <w:sz w:val="28"/>
          <w:szCs w:val="28"/>
        </w:rPr>
        <w:t> </w:t>
      </w:r>
      <w:r w:rsidRPr="00F22D91">
        <w:rPr>
          <w:sz w:val="28"/>
          <w:szCs w:val="28"/>
        </w:rPr>
        <w:t>502</w:t>
      </w:r>
      <w:r w:rsidR="00734A4A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>11</w:t>
      </w:r>
      <w:r w:rsidR="00734A4A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>000 и графы 9 ф. 0503128 «Принятые денежные обязательства» где отражаются показатели по балансовому счету 0</w:t>
      </w:r>
      <w:r w:rsidR="00734A4A">
        <w:rPr>
          <w:sz w:val="28"/>
          <w:szCs w:val="28"/>
        </w:rPr>
        <w:t> </w:t>
      </w:r>
      <w:r w:rsidRPr="00F22D91">
        <w:rPr>
          <w:sz w:val="28"/>
          <w:szCs w:val="28"/>
        </w:rPr>
        <w:t>502</w:t>
      </w:r>
      <w:r w:rsidR="00734A4A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>12</w:t>
      </w:r>
      <w:r w:rsidR="00734A4A">
        <w:rPr>
          <w:sz w:val="28"/>
          <w:szCs w:val="28"/>
        </w:rPr>
        <w:t xml:space="preserve"> </w:t>
      </w:r>
      <w:r w:rsidRPr="00F22D91">
        <w:rPr>
          <w:sz w:val="28"/>
          <w:szCs w:val="28"/>
        </w:rPr>
        <w:t xml:space="preserve">000, вызывает сомнения, в связи расхождением показателей в главной книге. </w:t>
      </w:r>
    </w:p>
    <w:p w:rsidR="006C05BE" w:rsidRPr="00F22D91" w:rsidRDefault="006C05BE" w:rsidP="006C05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«Справка по консолидируемым расчетам» (ф.0503125) сформирована для определения взаимосвязанных показателей, подлежащих исключению при формировании главным распорядителем средств бюджета консолидированных форм бюджетной отчетности. Показатели объема полученных межбюджетных трансфертов, указанные в отчете ф. 0503127, соответствуют данным отраженным в Справке по консолидируемым расчетам ф.0503125 по счету 1 205 51 000 в сумме 33 893 719,21 рублей.</w:t>
      </w:r>
    </w:p>
    <w:p w:rsidR="006C05BE" w:rsidRPr="00F22D91" w:rsidRDefault="006C05BE" w:rsidP="006C05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нарушение п. 23 Инструкции 191н Справка по консолидируемым расчетам форма 0503125 по коду счета бюджетного учета 1 401 10 195 «Доходы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сектора» заполнена не верно, а именно, не отражена балансовая стоимость и ам</w:t>
      </w:r>
      <w:r w:rsidR="002B4609">
        <w:rPr>
          <w:sz w:val="28"/>
          <w:szCs w:val="28"/>
        </w:rPr>
        <w:t xml:space="preserve">ортизация </w:t>
      </w:r>
      <w:r w:rsidR="002B4609" w:rsidRPr="002730D3">
        <w:rPr>
          <w:sz w:val="28"/>
          <w:szCs w:val="28"/>
        </w:rPr>
        <w:t xml:space="preserve">переданного распоряжением </w:t>
      </w:r>
      <w:r w:rsidR="002730D3" w:rsidRPr="002730D3">
        <w:rPr>
          <w:sz w:val="28"/>
          <w:szCs w:val="28"/>
        </w:rPr>
        <w:t xml:space="preserve">Правительства Иркутской области </w:t>
      </w:r>
      <w:r w:rsidR="002B4609" w:rsidRPr="002730D3">
        <w:rPr>
          <w:sz w:val="28"/>
          <w:szCs w:val="28"/>
        </w:rPr>
        <w:t xml:space="preserve">от </w:t>
      </w:r>
      <w:r w:rsidR="002730D3" w:rsidRPr="002730D3">
        <w:rPr>
          <w:sz w:val="28"/>
          <w:szCs w:val="28"/>
        </w:rPr>
        <w:t>29</w:t>
      </w:r>
      <w:r w:rsidR="002B4609" w:rsidRPr="002730D3">
        <w:rPr>
          <w:sz w:val="28"/>
          <w:szCs w:val="28"/>
        </w:rPr>
        <w:t>.</w:t>
      </w:r>
      <w:r w:rsidR="002730D3" w:rsidRPr="002730D3">
        <w:rPr>
          <w:sz w:val="28"/>
          <w:szCs w:val="28"/>
        </w:rPr>
        <w:t>08</w:t>
      </w:r>
      <w:r w:rsidR="002B4609" w:rsidRPr="002730D3">
        <w:rPr>
          <w:sz w:val="28"/>
          <w:szCs w:val="28"/>
        </w:rPr>
        <w:t>.</w:t>
      </w:r>
      <w:r w:rsidR="002730D3" w:rsidRPr="002730D3">
        <w:rPr>
          <w:sz w:val="28"/>
          <w:szCs w:val="28"/>
        </w:rPr>
        <w:t>2019г.</w:t>
      </w:r>
      <w:r w:rsidR="002B4609" w:rsidRPr="002730D3">
        <w:rPr>
          <w:sz w:val="28"/>
          <w:szCs w:val="28"/>
        </w:rPr>
        <w:t xml:space="preserve"> №</w:t>
      </w:r>
      <w:r w:rsidR="002730D3" w:rsidRPr="002730D3">
        <w:rPr>
          <w:sz w:val="28"/>
          <w:szCs w:val="28"/>
        </w:rPr>
        <w:t>708-рп</w:t>
      </w:r>
      <w:r w:rsidR="002B4609" w:rsidRPr="002730D3">
        <w:rPr>
          <w:sz w:val="28"/>
          <w:szCs w:val="28"/>
        </w:rPr>
        <w:t xml:space="preserve"> имущества(</w:t>
      </w:r>
      <w:r w:rsidRPr="002730D3">
        <w:rPr>
          <w:sz w:val="28"/>
          <w:szCs w:val="28"/>
        </w:rPr>
        <w:t>транспортное средство балансовая стоимость 700 000,00 рублей, амортизация 548 333,49 рублей, остаточная стоимость 151 666,51 рублей</w:t>
      </w:r>
      <w:r w:rsidR="002B4609" w:rsidRPr="002730D3">
        <w:rPr>
          <w:sz w:val="28"/>
          <w:szCs w:val="28"/>
        </w:rPr>
        <w:t>)</w:t>
      </w:r>
      <w:r w:rsidRPr="002730D3">
        <w:rPr>
          <w:sz w:val="28"/>
          <w:szCs w:val="28"/>
        </w:rPr>
        <w:t>.</w:t>
      </w:r>
      <w:r w:rsidRPr="00F22D91">
        <w:rPr>
          <w:sz w:val="28"/>
          <w:szCs w:val="28"/>
        </w:rPr>
        <w:t xml:space="preserve"> </w:t>
      </w:r>
    </w:p>
    <w:p w:rsidR="006C05BE" w:rsidRPr="00F22D91" w:rsidRDefault="006C05BE" w:rsidP="006C05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Однако следует отметить, что стоимость основного средства отражена в главном регистре бухгалтерского учета ф. 0504072 по счету 0 101 35 000 «Основные средства - иное движимое имущество учреждения (транспортные средства)» - 700 000,00 рублей, по счету 0 104 35 000 «Амортизация иного движимого имущества учреждения (транспортные средства)» - 548 333 49 рублей.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Согласно п. 163 Инструкции 191н «в графе 4 ф. 0503164 «Сведения об исполнении бюджета» по разделу «Расходы бюджета»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0 501 02 000 «Лимиты бюджетных обязательств к распределению», 0 503 02 000 «Бюджетные ассигнования к распределению». В нарушение п. п. 316, 322 Инструкции 157н и п. 132, 144 Инструкции 162н Администрация Нийского муниципального образования как главный распорядитель бюджетных средств, не в полном объеме ведет счета бюджетного учета 0 501 02 000 и 0 503 02 000. Это замечание было отражено в акте внешней проверки годового отчета об исполнении бюджета за 2018 год.</w:t>
      </w:r>
    </w:p>
    <w:p w:rsidR="006C05BE" w:rsidRPr="00F22D91" w:rsidRDefault="006C05BE" w:rsidP="006C05BE">
      <w:pPr>
        <w:widowControl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Также следует отметить, что согласно п. 163 Инструкции 191н форма 0503164 в графе 1 указываются коды по бюджетной классификации Российской Федерации соответственно </w:t>
      </w:r>
      <w:hyperlink r:id="rId13" w:history="1">
        <w:r w:rsidRPr="00F22D91">
          <w:rPr>
            <w:sz w:val="28"/>
            <w:szCs w:val="28"/>
          </w:rPr>
          <w:t>раздел</w:t>
        </w:r>
      </w:hyperlink>
      <w:r w:rsidRPr="00F22D91">
        <w:rPr>
          <w:sz w:val="28"/>
          <w:szCs w:val="28"/>
        </w:rPr>
        <w:t xml:space="preserve"> "Расходы бюджета" должен быть заполнен в разрезе кода главы по БК, кодов разделов, подразделов, программной (непрограммной) целевой статьей расходов бюджетов по бюджетной классификации Российской Федерации.</w:t>
      </w:r>
    </w:p>
    <w:p w:rsidR="006C05BE" w:rsidRPr="00F22D91" w:rsidRDefault="006C05BE" w:rsidP="006C05BE">
      <w:pPr>
        <w:widowControl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22D91">
        <w:rPr>
          <w:sz w:val="28"/>
          <w:szCs w:val="28"/>
        </w:rPr>
        <w:lastRenderedPageBreak/>
        <w:t xml:space="preserve">Пояснительная записка составлена по форме, установленной Инструкцией №191н. В основном приложения к пояснительной записке раскрывают информацию о финансовом состоянии и результатах деятельности ГРБС. </w:t>
      </w:r>
    </w:p>
    <w:p w:rsidR="006C05BE" w:rsidRPr="00F22D91" w:rsidRDefault="006C05BE" w:rsidP="006C05BE">
      <w:pPr>
        <w:widowControl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нарушении п.157 Инструкции 191н в таблице №5 некорректно заполнена графа 1 «Проверяемый период».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нарушении п.157 Инструкции 191н в таблице №7 некорректно заполнена графа 1 «Дата проверки». </w:t>
      </w:r>
    </w:p>
    <w:p w:rsidR="006C05BE" w:rsidRPr="00F22D91" w:rsidRDefault="006C05BE" w:rsidP="006C05BE">
      <w:pPr>
        <w:widowControl/>
        <w:ind w:firstLine="540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Общая характеристика исполнения бюджета Нийского муниципального образования в 2019 году.</w:t>
      </w:r>
    </w:p>
    <w:p w:rsidR="006C05BE" w:rsidRPr="00F22D91" w:rsidRDefault="006C05BE" w:rsidP="006C05BE">
      <w:pPr>
        <w:ind w:firstLine="709"/>
        <w:jc w:val="center"/>
        <w:rPr>
          <w:b/>
          <w:sz w:val="28"/>
          <w:szCs w:val="28"/>
        </w:rPr>
      </w:pPr>
    </w:p>
    <w:p w:rsidR="006C05BE" w:rsidRPr="00F22D91" w:rsidRDefault="006C05BE" w:rsidP="006C05BE">
      <w:pPr>
        <w:ind w:right="-1" w:firstLine="709"/>
        <w:jc w:val="both"/>
        <w:rPr>
          <w:bCs/>
          <w:sz w:val="28"/>
          <w:szCs w:val="28"/>
        </w:rPr>
      </w:pPr>
      <w:r w:rsidRPr="00F22D91">
        <w:rPr>
          <w:bCs/>
          <w:sz w:val="28"/>
          <w:szCs w:val="28"/>
        </w:rPr>
        <w:t xml:space="preserve">Решением </w:t>
      </w:r>
      <w:r w:rsidRPr="00F22D91">
        <w:rPr>
          <w:sz w:val="28"/>
          <w:szCs w:val="28"/>
        </w:rPr>
        <w:t>Думы Нийского сельского поселения</w:t>
      </w:r>
      <w:r w:rsidRPr="00F22D91">
        <w:rPr>
          <w:bCs/>
          <w:sz w:val="28"/>
          <w:szCs w:val="28"/>
        </w:rPr>
        <w:t xml:space="preserve"> от 27.12.2018 г. № 359 «О бюджете </w:t>
      </w:r>
      <w:r w:rsidRPr="00F22D91">
        <w:rPr>
          <w:spacing w:val="-1"/>
          <w:sz w:val="28"/>
          <w:szCs w:val="28"/>
        </w:rPr>
        <w:t>Нийского муниципального образования</w:t>
      </w:r>
      <w:r w:rsidRPr="00F22D91">
        <w:rPr>
          <w:bCs/>
          <w:sz w:val="28"/>
          <w:szCs w:val="28"/>
        </w:rPr>
        <w:t xml:space="preserve"> на 2019 год и на плановый период 2020 и 2021 годов» доходная часть бюджета утверждена в объёме 13 410,70 тыс. руб., расходная – 13 572,1 тыс. рублей, размер дефицита составлял 161,4 тыс. руб.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  <w:highlight w:val="yellow"/>
        </w:rPr>
      </w:pPr>
      <w:r w:rsidRPr="00F22D91">
        <w:rPr>
          <w:sz w:val="28"/>
          <w:szCs w:val="28"/>
        </w:rPr>
        <w:t>Решением Думы (приложение № 3) утвержден перечень главных администраторов доходов Нийского муниципального образования – Администрация Нийского</w:t>
      </w:r>
      <w:r w:rsidRPr="00F22D91">
        <w:rPr>
          <w:spacing w:val="-1"/>
          <w:sz w:val="28"/>
          <w:szCs w:val="28"/>
        </w:rPr>
        <w:t xml:space="preserve"> сельс</w:t>
      </w:r>
      <w:r w:rsidRPr="00F22D91">
        <w:rPr>
          <w:sz w:val="28"/>
          <w:szCs w:val="28"/>
        </w:rPr>
        <w:t>кого поселения Усть-Кутского муниципального района – ИНН 3818019310, КПП 381801001, ОКТМО 25644413</w:t>
      </w:r>
    </w:p>
    <w:p w:rsidR="006C05BE" w:rsidRPr="00C94AED" w:rsidRDefault="006C05BE" w:rsidP="006C05BE">
      <w:pPr>
        <w:shd w:val="clear" w:color="auto" w:fill="FFFFFF"/>
        <w:ind w:left="38" w:right="29" w:firstLine="709"/>
        <w:jc w:val="both"/>
        <w:rPr>
          <w:spacing w:val="-1"/>
          <w:sz w:val="28"/>
          <w:szCs w:val="28"/>
        </w:rPr>
      </w:pPr>
      <w:r w:rsidRPr="00F22D91">
        <w:rPr>
          <w:sz w:val="28"/>
          <w:szCs w:val="28"/>
        </w:rPr>
        <w:t xml:space="preserve">В </w:t>
      </w:r>
      <w:r w:rsidRPr="00F22D91">
        <w:rPr>
          <w:spacing w:val="-1"/>
          <w:sz w:val="28"/>
          <w:szCs w:val="28"/>
        </w:rPr>
        <w:t xml:space="preserve">ходе исполнения бюджета Нийского муниципального образования в первоначально утвержденные основные характеристики бюджета вносились </w:t>
      </w:r>
      <w:r w:rsidRPr="00C94AED">
        <w:rPr>
          <w:spacing w:val="-1"/>
          <w:sz w:val="28"/>
          <w:szCs w:val="28"/>
        </w:rPr>
        <w:t>изменения и дополнения, что отражено приведенной ниже таблице:</w:t>
      </w:r>
    </w:p>
    <w:p w:rsidR="006C05BE" w:rsidRPr="00F22D91" w:rsidRDefault="006C05BE" w:rsidP="006C05BE">
      <w:pPr>
        <w:shd w:val="clear" w:color="auto" w:fill="FFFFFF"/>
        <w:ind w:left="38" w:right="29" w:firstLine="524"/>
        <w:jc w:val="right"/>
        <w:rPr>
          <w:spacing w:val="-1"/>
        </w:rPr>
      </w:pPr>
      <w:r w:rsidRPr="00F22D91">
        <w:rPr>
          <w:spacing w:val="-1"/>
        </w:rPr>
        <w:t>Таблица 1 (тыс. рублей)</w:t>
      </w:r>
    </w:p>
    <w:p w:rsidR="006C05BE" w:rsidRPr="00F22D91" w:rsidRDefault="006C05BE" w:rsidP="006C05BE">
      <w:pPr>
        <w:pStyle w:val="aa"/>
        <w:spacing w:after="0"/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254"/>
        <w:gridCol w:w="1134"/>
        <w:gridCol w:w="1276"/>
        <w:gridCol w:w="903"/>
        <w:gridCol w:w="1082"/>
        <w:gridCol w:w="1701"/>
        <w:gridCol w:w="1385"/>
      </w:tblGrid>
      <w:tr w:rsidR="006C05BE" w:rsidRPr="00F22D91" w:rsidTr="006C05BE">
        <w:trPr>
          <w:jc w:val="center"/>
        </w:trPr>
        <w:tc>
          <w:tcPr>
            <w:tcW w:w="1689" w:type="dxa"/>
            <w:vMerge w:val="restart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Основные характеристики местного бюджета</w:t>
            </w:r>
          </w:p>
        </w:tc>
        <w:tc>
          <w:tcPr>
            <w:tcW w:w="1254" w:type="dxa"/>
            <w:vMerge w:val="restart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Первоначальный план</w:t>
            </w:r>
          </w:p>
        </w:tc>
        <w:tc>
          <w:tcPr>
            <w:tcW w:w="1134" w:type="dxa"/>
            <w:vMerge w:val="restart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Уточненный план</w:t>
            </w:r>
          </w:p>
        </w:tc>
        <w:tc>
          <w:tcPr>
            <w:tcW w:w="2179" w:type="dxa"/>
            <w:gridSpan w:val="2"/>
            <w:vMerge w:val="restart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Изменение показателей</w:t>
            </w:r>
          </w:p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(-,+)</w:t>
            </w:r>
          </w:p>
        </w:tc>
        <w:tc>
          <w:tcPr>
            <w:tcW w:w="4168" w:type="dxa"/>
            <w:gridSpan w:val="3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Исполнено за 2019 год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254" w:type="dxa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179" w:type="dxa"/>
            <w:gridSpan w:val="2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Сумма</w:t>
            </w:r>
          </w:p>
        </w:tc>
        <w:tc>
          <w:tcPr>
            <w:tcW w:w="3086" w:type="dxa"/>
            <w:gridSpan w:val="2"/>
          </w:tcPr>
          <w:p w:rsidR="006C05BE" w:rsidRPr="00F22D91" w:rsidRDefault="006C05BE" w:rsidP="006C05BE">
            <w:pPr>
              <w:pStyle w:val="aa"/>
              <w:spacing w:after="0"/>
              <w:ind w:firstLine="72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В % к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254" w:type="dxa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179" w:type="dxa"/>
            <w:gridSpan w:val="2"/>
            <w:vMerge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Первоначальному плану</w:t>
            </w:r>
          </w:p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385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  <w:rPr>
                <w:highlight w:val="yellow"/>
              </w:rPr>
            </w:pPr>
            <w:r w:rsidRPr="00F22D91">
              <w:rPr>
                <w:b/>
                <w:bCs/>
              </w:rPr>
              <w:t>Уточненному плану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1</w:t>
            </w:r>
          </w:p>
        </w:tc>
        <w:tc>
          <w:tcPr>
            <w:tcW w:w="125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2</w:t>
            </w:r>
          </w:p>
        </w:tc>
        <w:tc>
          <w:tcPr>
            <w:tcW w:w="113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3</w:t>
            </w:r>
          </w:p>
        </w:tc>
        <w:tc>
          <w:tcPr>
            <w:tcW w:w="1276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4</w:t>
            </w:r>
          </w:p>
        </w:tc>
        <w:tc>
          <w:tcPr>
            <w:tcW w:w="903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5</w:t>
            </w: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6</w:t>
            </w:r>
          </w:p>
        </w:tc>
        <w:tc>
          <w:tcPr>
            <w:tcW w:w="1701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7</w:t>
            </w:r>
          </w:p>
        </w:tc>
        <w:tc>
          <w:tcPr>
            <w:tcW w:w="1385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9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Доходы всего</w:t>
            </w:r>
          </w:p>
        </w:tc>
        <w:tc>
          <w:tcPr>
            <w:tcW w:w="125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13 410,70</w:t>
            </w:r>
          </w:p>
        </w:tc>
        <w:tc>
          <w:tcPr>
            <w:tcW w:w="113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38 484,20</w:t>
            </w:r>
          </w:p>
        </w:tc>
        <w:tc>
          <w:tcPr>
            <w:tcW w:w="1276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(+) 25 073,5</w:t>
            </w:r>
          </w:p>
        </w:tc>
        <w:tc>
          <w:tcPr>
            <w:tcW w:w="903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287,0 %</w:t>
            </w: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38 407,7</w:t>
            </w:r>
          </w:p>
        </w:tc>
        <w:tc>
          <w:tcPr>
            <w:tcW w:w="1701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286,4</w:t>
            </w:r>
          </w:p>
        </w:tc>
        <w:tc>
          <w:tcPr>
            <w:tcW w:w="1385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99,8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Расходы всего</w:t>
            </w:r>
          </w:p>
        </w:tc>
        <w:tc>
          <w:tcPr>
            <w:tcW w:w="125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13 572,10</w:t>
            </w:r>
          </w:p>
        </w:tc>
        <w:tc>
          <w:tcPr>
            <w:tcW w:w="113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38 875,3</w:t>
            </w:r>
          </w:p>
        </w:tc>
        <w:tc>
          <w:tcPr>
            <w:tcW w:w="1276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(+) 25 303,2</w:t>
            </w:r>
          </w:p>
        </w:tc>
        <w:tc>
          <w:tcPr>
            <w:tcW w:w="903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286,4 %</w:t>
            </w: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37 628,6</w:t>
            </w:r>
          </w:p>
        </w:tc>
        <w:tc>
          <w:tcPr>
            <w:tcW w:w="1701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277,3</w:t>
            </w:r>
          </w:p>
        </w:tc>
        <w:tc>
          <w:tcPr>
            <w:tcW w:w="1385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96,8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Дефицит (-)</w:t>
            </w:r>
          </w:p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Профицит (+)</w:t>
            </w:r>
          </w:p>
        </w:tc>
        <w:tc>
          <w:tcPr>
            <w:tcW w:w="125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(-) 161,4</w:t>
            </w:r>
          </w:p>
        </w:tc>
        <w:tc>
          <w:tcPr>
            <w:tcW w:w="113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(-) 391,0</w:t>
            </w:r>
          </w:p>
        </w:tc>
        <w:tc>
          <w:tcPr>
            <w:tcW w:w="1276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(-) 229,9</w:t>
            </w:r>
          </w:p>
        </w:tc>
        <w:tc>
          <w:tcPr>
            <w:tcW w:w="903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х</w:t>
            </w: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(+) 779,1</w:t>
            </w:r>
          </w:p>
        </w:tc>
        <w:tc>
          <w:tcPr>
            <w:tcW w:w="1701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х</w:t>
            </w:r>
          </w:p>
        </w:tc>
        <w:tc>
          <w:tcPr>
            <w:tcW w:w="1385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  <w:r w:rsidRPr="00F22D91">
              <w:t>х</w:t>
            </w:r>
          </w:p>
        </w:tc>
      </w:tr>
      <w:tr w:rsidR="006C05BE" w:rsidRPr="00F22D91" w:rsidTr="006C05BE">
        <w:trPr>
          <w:jc w:val="center"/>
        </w:trPr>
        <w:tc>
          <w:tcPr>
            <w:tcW w:w="1689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125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1134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1276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903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1082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1701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  <w:tc>
          <w:tcPr>
            <w:tcW w:w="1385" w:type="dxa"/>
          </w:tcPr>
          <w:p w:rsidR="006C05BE" w:rsidRPr="00F22D91" w:rsidRDefault="006C05BE" w:rsidP="006C05BE">
            <w:pPr>
              <w:pStyle w:val="aa"/>
              <w:spacing w:after="0"/>
              <w:jc w:val="both"/>
            </w:pPr>
          </w:p>
        </w:tc>
      </w:tr>
    </w:tbl>
    <w:p w:rsidR="006C05BE" w:rsidRPr="00F22D91" w:rsidRDefault="006C05BE" w:rsidP="006C05BE">
      <w:pPr>
        <w:pStyle w:val="aa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6C05BE" w:rsidRPr="00F22D91" w:rsidRDefault="006C05BE" w:rsidP="006C05BE">
      <w:pPr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 xml:space="preserve">В результате внесения изменений и дополнений в бюджет поселения на 2019 год доходная часть бюджета по сравнению с первоначальными значениями увеличилась на 287,0 % и составила 38 484,2 тыс. руб., расходная часть увеличилась на 286,4 % и составила 38 875,3 тыс. руб. Дефицит бюджета составил 391,0 тыс. рублей. 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Проект решения об утверждении отчета об исполнении бюджета Нийского муниципального образования за 2019 год представлен по доходам в сумме 38 407,7 тыс. руб., по расходам в сумме 37 628,6 тыс. руб., профицит бюджета в сумме 779,1 тыс. рублей.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22D91">
        <w:rPr>
          <w:b/>
          <w:bCs/>
          <w:sz w:val="28"/>
          <w:szCs w:val="28"/>
        </w:rPr>
        <w:t>Анализ доходной части бюджета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22D91">
        <w:rPr>
          <w:b/>
          <w:bCs/>
          <w:sz w:val="28"/>
          <w:szCs w:val="28"/>
        </w:rPr>
        <w:t>Нийского муниципального образования за 2019 год</w:t>
      </w:r>
    </w:p>
    <w:p w:rsidR="006C05BE" w:rsidRPr="00F22D91" w:rsidRDefault="006C05BE" w:rsidP="006C05BE">
      <w:pPr>
        <w:widowControl/>
        <w:tabs>
          <w:tab w:val="left" w:pos="6090"/>
        </w:tabs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pacing w:val="1"/>
          <w:sz w:val="28"/>
          <w:szCs w:val="28"/>
        </w:rPr>
      </w:pPr>
      <w:r w:rsidRPr="00F22D91">
        <w:rPr>
          <w:spacing w:val="1"/>
          <w:sz w:val="28"/>
          <w:szCs w:val="28"/>
        </w:rPr>
        <w:t xml:space="preserve">Исполнение доходной части бюджета является одним из основных показателей </w:t>
      </w:r>
      <w:r w:rsidRPr="00F22D91">
        <w:rPr>
          <w:spacing w:val="1"/>
          <w:sz w:val="28"/>
          <w:szCs w:val="28"/>
        </w:rPr>
        <w:lastRenderedPageBreak/>
        <w:t>финансового состояния муниципального образования.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bCs/>
          <w:sz w:val="28"/>
          <w:szCs w:val="28"/>
        </w:rPr>
        <w:t xml:space="preserve">Решением </w:t>
      </w:r>
      <w:r w:rsidRPr="00F22D91">
        <w:rPr>
          <w:sz w:val="28"/>
          <w:szCs w:val="28"/>
        </w:rPr>
        <w:t>Думы Нийского сельского поселения</w:t>
      </w:r>
      <w:r w:rsidRPr="00F22D91">
        <w:rPr>
          <w:bCs/>
          <w:sz w:val="28"/>
          <w:szCs w:val="28"/>
        </w:rPr>
        <w:t xml:space="preserve"> от 27.12.2018 г. № 359 «О бюджете </w:t>
      </w:r>
      <w:r w:rsidRPr="00F22D91">
        <w:rPr>
          <w:spacing w:val="-1"/>
          <w:sz w:val="28"/>
          <w:szCs w:val="28"/>
        </w:rPr>
        <w:t>Нийского муниципального образования</w:t>
      </w:r>
      <w:r w:rsidRPr="00F22D91">
        <w:rPr>
          <w:bCs/>
          <w:sz w:val="28"/>
          <w:szCs w:val="28"/>
        </w:rPr>
        <w:t xml:space="preserve"> на 2019 год и на плановый период 2020 и 2021 годов» прогнозируемый общий объем доходов бюджета поселения был утвержден в объёме 13 410,7 тыс. рублей.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Внесенными изменениями и дополнениями в бюджет на 2019 год назначения были увеличены на 25 073,5 тыс. рублей и составил 38 484,2 тыс. рублей.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Анализ первоначального и уточненного планов доходной части бюджета на 2019 год представлен в следующей таблице:</w:t>
      </w:r>
    </w:p>
    <w:p w:rsidR="006C05BE" w:rsidRPr="00F22D91" w:rsidRDefault="006C05BE" w:rsidP="006C05BE">
      <w:pPr>
        <w:widowControl/>
        <w:tabs>
          <w:tab w:val="left" w:pos="6930"/>
        </w:tabs>
        <w:autoSpaceDE/>
        <w:autoSpaceDN/>
        <w:adjustRightInd/>
        <w:ind w:firstLine="709"/>
        <w:jc w:val="right"/>
        <w:rPr>
          <w:sz w:val="28"/>
          <w:szCs w:val="28"/>
        </w:rPr>
      </w:pPr>
      <w:r w:rsidRPr="00F22D91">
        <w:rPr>
          <w:sz w:val="28"/>
          <w:szCs w:val="28"/>
        </w:rPr>
        <w:tab/>
      </w:r>
    </w:p>
    <w:p w:rsidR="006C05BE" w:rsidRPr="00F22D91" w:rsidRDefault="006C05BE" w:rsidP="006C05BE">
      <w:pPr>
        <w:widowControl/>
        <w:tabs>
          <w:tab w:val="left" w:pos="6930"/>
        </w:tabs>
        <w:autoSpaceDE/>
        <w:autoSpaceDN/>
        <w:adjustRightInd/>
        <w:ind w:firstLine="709"/>
        <w:jc w:val="right"/>
      </w:pPr>
      <w:r w:rsidRPr="00F22D91">
        <w:t>Таблица 2 (тыс. рублей)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275"/>
        <w:gridCol w:w="1134"/>
      </w:tblGrid>
      <w:tr w:rsidR="006C05BE" w:rsidRPr="00F22D91" w:rsidTr="006C05BE">
        <w:trPr>
          <w:trHeight w:val="5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18"/>
                <w:szCs w:val="18"/>
              </w:rPr>
            </w:pPr>
            <w:r w:rsidRPr="00F22D9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18"/>
                <w:szCs w:val="18"/>
              </w:rPr>
            </w:pPr>
            <w:r w:rsidRPr="00F22D91">
              <w:rPr>
                <w:b/>
                <w:bCs/>
                <w:spacing w:val="-1"/>
              </w:rPr>
              <w:t>Первона</w:t>
            </w:r>
            <w:r w:rsidRPr="00F22D91">
              <w:rPr>
                <w:b/>
                <w:bCs/>
                <w:spacing w:val="-1"/>
              </w:rPr>
              <w:softHyphen/>
            </w:r>
            <w:r w:rsidRPr="00F22D91">
              <w:rPr>
                <w:b/>
                <w:bCs/>
                <w:spacing w:val="-2"/>
              </w:rPr>
              <w:t xml:space="preserve">чальный </w:t>
            </w:r>
            <w:r w:rsidRPr="00F22D91">
              <w:rPr>
                <w:b/>
                <w:bCs/>
                <w:spacing w:val="-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ind w:right="-161"/>
              <w:jc w:val="center"/>
              <w:rPr>
                <w:b/>
                <w:bCs/>
                <w:spacing w:val="-5"/>
              </w:rPr>
            </w:pPr>
            <w:r w:rsidRPr="00F22D91">
              <w:rPr>
                <w:b/>
                <w:bCs/>
                <w:spacing w:val="-4"/>
              </w:rPr>
              <w:t>Уточнен</w:t>
            </w:r>
            <w:r w:rsidRPr="00F22D91">
              <w:rPr>
                <w:b/>
                <w:bCs/>
                <w:spacing w:val="-5"/>
              </w:rPr>
              <w:t>ный</w:t>
            </w:r>
          </w:p>
          <w:p w:rsidR="006C05BE" w:rsidRPr="00F22D91" w:rsidRDefault="006C05BE" w:rsidP="006C05BE">
            <w:pPr>
              <w:ind w:right="-161"/>
              <w:jc w:val="center"/>
              <w:rPr>
                <w:sz w:val="18"/>
                <w:szCs w:val="18"/>
              </w:rPr>
            </w:pPr>
            <w:r w:rsidRPr="00F22D91">
              <w:rPr>
                <w:b/>
                <w:bCs/>
                <w:spacing w:val="-5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bCs/>
                <w:spacing w:val="-5"/>
              </w:rPr>
            </w:pPr>
            <w:r w:rsidRPr="00F22D91">
              <w:rPr>
                <w:b/>
                <w:bCs/>
                <w:spacing w:val="-5"/>
              </w:rPr>
              <w:t>Изменение показателей</w:t>
            </w:r>
          </w:p>
          <w:p w:rsidR="006C05BE" w:rsidRPr="00F22D91" w:rsidRDefault="006C05BE" w:rsidP="006C05BE">
            <w:pPr>
              <w:autoSpaceDE/>
              <w:adjustRightInd/>
              <w:jc w:val="center"/>
              <w:rPr>
                <w:sz w:val="18"/>
                <w:szCs w:val="18"/>
              </w:rPr>
            </w:pPr>
            <w:r w:rsidRPr="00F22D91">
              <w:rPr>
                <w:b/>
                <w:bCs/>
                <w:spacing w:val="-5"/>
              </w:rPr>
              <w:t>(-, +) на %</w:t>
            </w:r>
          </w:p>
        </w:tc>
      </w:tr>
      <w:tr w:rsidR="006C05BE" w:rsidRPr="00F22D91" w:rsidTr="006C05BE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18"/>
                <w:szCs w:val="18"/>
              </w:rPr>
            </w:pPr>
            <w:r w:rsidRPr="00F22D9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both"/>
              <w:rPr>
                <w:sz w:val="18"/>
                <w:szCs w:val="18"/>
              </w:rPr>
            </w:pPr>
            <w:r w:rsidRPr="00F22D9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/>
                <w:sz w:val="18"/>
                <w:szCs w:val="18"/>
              </w:rPr>
            </w:pPr>
            <w:r w:rsidRPr="00F22D9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/>
                <w:sz w:val="18"/>
                <w:szCs w:val="18"/>
              </w:rPr>
            </w:pPr>
            <w:r w:rsidRPr="00F22D9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both"/>
              <w:rPr>
                <w:i/>
                <w:sz w:val="18"/>
                <w:szCs w:val="18"/>
              </w:rPr>
            </w:pPr>
            <w:r w:rsidRPr="00F22D91">
              <w:rPr>
                <w:i/>
                <w:sz w:val="18"/>
                <w:szCs w:val="18"/>
              </w:rPr>
              <w:t>5</w:t>
            </w:r>
          </w:p>
        </w:tc>
      </w:tr>
      <w:tr w:rsidR="006C05BE" w:rsidRPr="00F22D91" w:rsidTr="006C05BE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3 228,2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4 590,5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+1 362,3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142,2</w:t>
            </w:r>
          </w:p>
        </w:tc>
      </w:tr>
      <w:tr w:rsidR="006C05BE" w:rsidRPr="00F22D91" w:rsidTr="006C05BE">
        <w:trPr>
          <w:trHeight w:val="4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2 470,2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3 172,2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+702,0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128,0</w:t>
            </w:r>
          </w:p>
        </w:tc>
      </w:tr>
      <w:tr w:rsidR="006C05BE" w:rsidRPr="00F22D91" w:rsidTr="006C05BE">
        <w:trPr>
          <w:trHeight w:val="3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bCs/>
                <w:sz w:val="22"/>
                <w:szCs w:val="22"/>
              </w:rPr>
              <w:t>1 132,0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1 203,0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106,0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bCs/>
                <w:sz w:val="22"/>
                <w:szCs w:val="22"/>
              </w:rP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+217,8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132,8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+135,3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150,4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 от уплаты акцизов на моторные масла для дизельных и (или) карбюраторных (</w:t>
            </w:r>
            <w:r w:rsidR="00376387" w:rsidRPr="00F22D91">
              <w:rPr>
                <w:iCs/>
              </w:rPr>
              <w:t>инжекторы</w:t>
            </w:r>
            <w:r w:rsidRPr="00F22D91">
              <w:rPr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96,4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447,7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118,8</w:t>
            </w:r>
          </w:p>
        </w:tc>
      </w:tr>
      <w:tr w:rsidR="006C05BE" w:rsidRPr="00F22D91" w:rsidTr="006C05BE">
        <w:trPr>
          <w:trHeight w:val="15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103,2</w:t>
            </w:r>
          </w:p>
        </w:tc>
      </w:tr>
      <w:tr w:rsidR="006C05BE" w:rsidRPr="00F22D91" w:rsidTr="006C05BE">
        <w:trPr>
          <w:trHeight w:val="27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НАЛОГ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1 087,0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161,7</w:t>
            </w:r>
          </w:p>
        </w:tc>
      </w:tr>
      <w:tr w:rsidR="006C05BE" w:rsidRPr="00F22D91" w:rsidTr="006C05BE">
        <w:trPr>
          <w:trHeight w:val="4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138,4</w:t>
            </w:r>
          </w:p>
        </w:tc>
      </w:tr>
      <w:tr w:rsidR="006C05BE" w:rsidRPr="00F22D91" w:rsidTr="006C05BE">
        <w:trPr>
          <w:trHeight w:val="2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547,0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+367,0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167,1</w:t>
            </w:r>
          </w:p>
        </w:tc>
      </w:tr>
      <w:tr w:rsidR="006C05BE" w:rsidRPr="00F22D91" w:rsidTr="006C05BE">
        <w:trPr>
          <w:trHeight w:val="4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+341,0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172,8</w:t>
            </w:r>
          </w:p>
        </w:tc>
      </w:tr>
      <w:tr w:rsidR="006C05BE" w:rsidRPr="00F22D91" w:rsidTr="006C05BE">
        <w:trPr>
          <w:trHeight w:val="4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132,9</w:t>
            </w:r>
          </w:p>
        </w:tc>
      </w:tr>
      <w:tr w:rsidR="006C05BE" w:rsidRPr="00F22D91" w:rsidTr="006C05BE">
        <w:trPr>
          <w:trHeight w:val="20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ГОСПОШЛИНА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-1,8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40,0</w:t>
            </w:r>
          </w:p>
        </w:tc>
      </w:tr>
      <w:tr w:rsidR="006C05BE" w:rsidRPr="00F22D91" w:rsidTr="006C05BE">
        <w:trPr>
          <w:trHeight w:val="26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НЕНАЛОГОВЫЕ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1 418,3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+660,3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187,1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107,6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102,8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246,0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Денежные взыскания (штрафы)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х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10 182,5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33 893,7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+23 711,2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332,9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10 182,5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33 893,7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+23 711,2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332,9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9 431,1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9 882,1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107,8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Дотации бюджетам сельских поселений на выравнивание бюджетной обеспеченности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9 431,1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9 882,1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107,8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6 852,5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+6 852,5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 xml:space="preserve">Прочие субсидии бюджетам сельских поселений (на оказание содействия муниципальным образованиям Иркутской области в реализации первоочередных мероприятий по модернизации объектов теплоэнергии и подготовке к отопительному сезону объектов коммунальной инфраструктуры, находящихся в муниципальной собственности.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+5 600,0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субсидии бюджетам сельских поселений (на развитие домов культуры на 2018 год и плановый период 2019-2020 годов)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+891,9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субсидии бюджетам сельских поселений (на реализацию мероприятий перечня проектов народных инициатив) (ОБ)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103,3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103,3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Субвенции бюджетам сельских поселений на выполнение передаваемых полномочий субъектов Российской Федерации (в сфере водоснабжения и водоотведения)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103,3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 xml:space="preserve">Субвенции бюджетам сельских поселений на </w:t>
            </w:r>
            <w:r w:rsidRPr="00F22D91">
              <w:rPr>
                <w:iCs/>
              </w:rPr>
              <w:lastRenderedPageBreak/>
              <w:t>выполнение передаваемых полномочий субъектов Российской Федерации (по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16 920,1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+16 400,1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межбюджетные трансферты, передаваемые бюджетам сельских поселений (в целях софинансирования расходных обязательств органов местного самоуправления поселений на обеспечение проживающих в поселении и нуждающихся в жилых помещениях граждан жилыми помещениями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1 360,0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+840,0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261,5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Прочие МБТ передаваемые бюджетам сельских поселений (на выполнение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Прочие межбюджетные трансферты, передаваемые бюджетам сельских поселений (в целях софинансирования расходных обязательств, возникающих при выполнении полномочий органа местного самоуправления поселения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 (РБ)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8 342,1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+8 342,1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Прочие межбюджетные трансферты, передаваемые бюджетам сельских поселений (на выплату заработной платы с начислениями на неё работникам учреждений культуры, находящихся в ведении органов местного самоуправления поселений и (или) оплату коммунальных услуг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5 818,0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+5 818,0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</w:t>
            </w:r>
          </w:p>
        </w:tc>
      </w:tr>
      <w:tr w:rsidR="006C05BE" w:rsidRPr="00F22D91" w:rsidTr="006C05BE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u w:val="single"/>
              </w:rPr>
            </w:pPr>
            <w:r w:rsidRPr="00F22D91">
              <w:rPr>
                <w:b/>
                <w:iCs/>
                <w:u w:val="single"/>
              </w:rPr>
              <w:t>Итого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13 410,7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38 484,2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25 073,5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341,3</w:t>
            </w:r>
          </w:p>
        </w:tc>
      </w:tr>
    </w:tbl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18"/>
          <w:szCs w:val="1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Увеличение назначений по доходам, обусловлено: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налоговыми доходами на 702,0 тыс. рублей или 128 %;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неналоговыми доходами на 660,3 тыс. рублей или 187,1%; 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безвозмездные поступления на 23 711,2 тыс. рублей или 332,9%.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91">
        <w:rPr>
          <w:spacing w:val="1"/>
          <w:sz w:val="28"/>
          <w:szCs w:val="28"/>
        </w:rPr>
        <w:t xml:space="preserve">На основании отчета об исполнении бюджета Нийского муниципального образования за 2019 год исполнение по доходам составило в сумме 38 407,7 тыс. руб. или на 99,8 % к уточненному плану.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F22D91">
        <w:rPr>
          <w:spacing w:val="1"/>
          <w:sz w:val="28"/>
          <w:szCs w:val="28"/>
        </w:rPr>
        <w:t xml:space="preserve">Проведенным анализом исполнения бюджета по доходам установлено, в сравнении с аналогичным периодом прошлого года (2018 г. исполнено 20 519,3 тыс. руб.) поступления в доходную часть бюджета в проверяемом отчетном периоде увеличилось на 187,6 %, или – 17 964,9 тыс. рублей, по сравнению с 2017 годом </w:t>
      </w:r>
      <w:r w:rsidRPr="00F22D91">
        <w:rPr>
          <w:spacing w:val="1"/>
          <w:sz w:val="28"/>
          <w:szCs w:val="28"/>
        </w:rPr>
        <w:lastRenderedPageBreak/>
        <w:t>(исполнено 26 631,7 тыс. руб.) - увеличилось на 144,5 % (прирост составлял 11 852,5 тыс. руб.), в основном за счет увеличения безвозмездных поступлений.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Исполнение доходной части бюджета поселения за 2019 год характеризуется следующими показателями: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right"/>
      </w:pPr>
      <w:r w:rsidRPr="00F22D91">
        <w:t>Таблица 3 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1134"/>
        <w:gridCol w:w="1134"/>
        <w:gridCol w:w="1134"/>
        <w:gridCol w:w="1134"/>
        <w:gridCol w:w="992"/>
        <w:gridCol w:w="1134"/>
      </w:tblGrid>
      <w:tr w:rsidR="006C05BE" w:rsidRPr="00F22D91" w:rsidTr="006C05BE">
        <w:trPr>
          <w:trHeight w:val="5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bCs/>
              </w:rPr>
              <w:t>Наименование статьи доходов</w:t>
            </w:r>
          </w:p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bCs/>
                <w:spacing w:val="-1"/>
              </w:rPr>
            </w:pPr>
            <w:r w:rsidRPr="00F22D91">
              <w:rPr>
                <w:b/>
                <w:bCs/>
                <w:spacing w:val="-1"/>
              </w:rPr>
              <w:t>Исполнено</w:t>
            </w:r>
          </w:p>
          <w:p w:rsidR="006C05BE" w:rsidRPr="00F22D91" w:rsidRDefault="006C05BE" w:rsidP="006C05BE">
            <w:pPr>
              <w:jc w:val="center"/>
              <w:rPr>
                <w:b/>
                <w:bCs/>
                <w:spacing w:val="-1"/>
              </w:rPr>
            </w:pPr>
            <w:r w:rsidRPr="00F22D91">
              <w:rPr>
                <w:b/>
                <w:bCs/>
                <w:spacing w:val="-1"/>
              </w:rPr>
              <w:t>2016г.</w:t>
            </w:r>
          </w:p>
          <w:p w:rsidR="006C05BE" w:rsidRPr="00F22D91" w:rsidRDefault="006C05BE" w:rsidP="006C05BE">
            <w:pPr>
              <w:ind w:left="-108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bCs/>
                <w:spacing w:val="-1"/>
              </w:rPr>
            </w:pPr>
            <w:r w:rsidRPr="00F22D91">
              <w:rPr>
                <w:b/>
                <w:bCs/>
                <w:spacing w:val="-1"/>
              </w:rPr>
              <w:t>Исполнено 2017г.</w:t>
            </w:r>
          </w:p>
          <w:p w:rsidR="006C05BE" w:rsidRPr="00F22D91" w:rsidRDefault="006C05BE" w:rsidP="006C05BE">
            <w:pPr>
              <w:ind w:left="-108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bCs/>
                <w:spacing w:val="-1"/>
              </w:rPr>
            </w:pPr>
            <w:r w:rsidRPr="00F22D91">
              <w:rPr>
                <w:b/>
                <w:bCs/>
                <w:spacing w:val="-1"/>
              </w:rPr>
              <w:t>Исполне-</w:t>
            </w:r>
          </w:p>
          <w:p w:rsidR="006C05BE" w:rsidRPr="00F22D91" w:rsidRDefault="006C05BE" w:rsidP="006C05BE">
            <w:pPr>
              <w:jc w:val="center"/>
              <w:rPr>
                <w:b/>
                <w:bCs/>
                <w:spacing w:val="-1"/>
              </w:rPr>
            </w:pPr>
            <w:r w:rsidRPr="00F22D91">
              <w:rPr>
                <w:b/>
                <w:bCs/>
                <w:spacing w:val="-1"/>
              </w:rPr>
              <w:t>но 2018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bCs/>
                <w:spacing w:val="-1"/>
              </w:rPr>
              <w:t>Первона</w:t>
            </w:r>
            <w:r w:rsidRPr="00F22D91">
              <w:rPr>
                <w:b/>
                <w:bCs/>
                <w:spacing w:val="-1"/>
              </w:rPr>
              <w:softHyphen/>
            </w:r>
            <w:r w:rsidRPr="00F22D91">
              <w:rPr>
                <w:b/>
                <w:bCs/>
                <w:spacing w:val="-2"/>
              </w:rPr>
              <w:t xml:space="preserve">чальный </w:t>
            </w:r>
            <w:r w:rsidRPr="00F22D91">
              <w:rPr>
                <w:b/>
                <w:bCs/>
                <w:spacing w:val="-4"/>
              </w:rPr>
              <w:t>план</w:t>
            </w:r>
          </w:p>
          <w:p w:rsidR="006C05BE" w:rsidRPr="00F22D91" w:rsidRDefault="006C05BE" w:rsidP="006C05BE">
            <w:pPr>
              <w:ind w:lef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ind w:right="-161"/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bCs/>
                <w:spacing w:val="-4"/>
              </w:rPr>
              <w:t>Уточнен</w:t>
            </w:r>
            <w:r w:rsidRPr="00F22D91">
              <w:rPr>
                <w:b/>
                <w:bCs/>
                <w:spacing w:val="-5"/>
              </w:rPr>
              <w:t>ный план</w:t>
            </w:r>
          </w:p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bCs/>
                <w:spacing w:val="-5"/>
              </w:rPr>
            </w:pPr>
            <w:r w:rsidRPr="00F22D91">
              <w:rPr>
                <w:b/>
                <w:bCs/>
                <w:spacing w:val="-5"/>
              </w:rPr>
              <w:t>Исполнено за 2019 год (на %)</w:t>
            </w:r>
          </w:p>
        </w:tc>
      </w:tr>
      <w:tr w:rsidR="006C05BE" w:rsidRPr="00F22D91" w:rsidTr="006C05BE">
        <w:trPr>
          <w:trHeight w:val="2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Сумма</w:t>
            </w:r>
          </w:p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В %</w:t>
            </w:r>
          </w:p>
        </w:tc>
      </w:tr>
      <w:tr w:rsidR="006C05BE" w:rsidRPr="00F22D91" w:rsidTr="006C05BE">
        <w:trPr>
          <w:trHeight w:val="21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К первоначальному плану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E" w:rsidRPr="00F22D91" w:rsidRDefault="006C05BE" w:rsidP="006C05BE">
            <w:pPr>
              <w:autoSpaceDE/>
              <w:adjustRightInd/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К уточненному плану в 2019 г.</w:t>
            </w:r>
          </w:p>
        </w:tc>
      </w:tr>
      <w:tr w:rsidR="006C05BE" w:rsidRPr="00F22D91" w:rsidTr="006C05BE">
        <w:trPr>
          <w:trHeight w:val="2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9</w:t>
            </w:r>
          </w:p>
        </w:tc>
      </w:tr>
      <w:tr w:rsidR="006C05BE" w:rsidRPr="00F22D91" w:rsidTr="006C05BE">
        <w:trPr>
          <w:trHeight w:val="4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autoSpaceDE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F22D9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3 380,5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3 097,9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3 304,0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3 228,2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4 590,5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4 580,5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141,9</w:t>
            </w:r>
          </w:p>
        </w:tc>
      </w:tr>
      <w:tr w:rsidR="006C05BE" w:rsidRPr="00F22D91" w:rsidTr="006C05BE">
        <w:trPr>
          <w:trHeight w:val="41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2 674,5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2 269,2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2 309,6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2 470,2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3 172,2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3 116,4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98,2</w:t>
            </w:r>
          </w:p>
        </w:tc>
      </w:tr>
      <w:tr w:rsidR="006C05BE" w:rsidRPr="00F22D91" w:rsidTr="006C05BE">
        <w:trPr>
          <w:trHeight w:val="39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Cs/>
                <w:sz w:val="22"/>
                <w:szCs w:val="22"/>
              </w:rPr>
            </w:pPr>
            <w:r w:rsidRPr="00F22D91">
              <w:rPr>
                <w:bCs/>
                <w:sz w:val="22"/>
                <w:szCs w:val="22"/>
              </w:rPr>
              <w:t>1 303,6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Cs/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1 127,4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bCs/>
                <w:sz w:val="22"/>
                <w:szCs w:val="22"/>
              </w:rPr>
              <w:t>1 132,0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95,3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Cs/>
                <w:sz w:val="22"/>
                <w:szCs w:val="22"/>
              </w:rPr>
            </w:pPr>
            <w:r w:rsidRPr="00F22D91">
              <w:rPr>
                <w:bCs/>
                <w:sz w:val="22"/>
                <w:szCs w:val="22"/>
              </w:rPr>
              <w:t>645,0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Cs/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635,1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bCs/>
                <w:sz w:val="22"/>
                <w:szCs w:val="22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99,6</w:t>
            </w:r>
          </w:p>
        </w:tc>
      </w:tr>
      <w:tr w:rsidR="006C05BE" w:rsidRPr="00F22D91" w:rsidTr="006C05BE">
        <w:trPr>
          <w:trHeight w:val="27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18"/>
                <w:szCs w:val="18"/>
              </w:rPr>
            </w:pPr>
            <w:r w:rsidRPr="00F22D91">
              <w:rPr>
                <w:b/>
                <w:iCs/>
                <w:sz w:val="18"/>
                <w:szCs w:val="18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102,4</w:t>
            </w:r>
          </w:p>
        </w:tc>
      </w:tr>
      <w:tr w:rsidR="006C05BE" w:rsidRPr="00F22D91" w:rsidTr="006C05BE">
        <w:trPr>
          <w:trHeight w:val="2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18"/>
                <w:szCs w:val="18"/>
              </w:rPr>
            </w:pPr>
            <w:r w:rsidRPr="00F22D91">
              <w:rPr>
                <w:b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99,9</w:t>
            </w:r>
          </w:p>
        </w:tc>
      </w:tr>
      <w:tr w:rsidR="006C05BE" w:rsidRPr="00F22D91" w:rsidTr="006C05BE">
        <w:trPr>
          <w:trHeight w:val="20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ГОСПОШЛИНА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6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18"/>
                <w:szCs w:val="18"/>
              </w:rPr>
            </w:pPr>
            <w:r w:rsidRPr="00F22D91">
              <w:rPr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705,9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1 418,3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1 464,1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103,2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102,7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30,9</w:t>
            </w:r>
          </w:p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F22D91">
              <w:rPr>
                <w:iCs/>
              </w:rPr>
              <w:lastRenderedPageBreak/>
              <w:t>имущества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lastRenderedPageBreak/>
              <w:t>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1 020,5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255,12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103,7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Денежные взыскания (штрафы)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18"/>
                <w:szCs w:val="18"/>
              </w:rPr>
            </w:pPr>
            <w:r w:rsidRPr="00F22D91">
              <w:rPr>
                <w:b/>
                <w:iCs/>
                <w:sz w:val="16"/>
                <w:szCs w:val="16"/>
              </w:rPr>
              <w:t xml:space="preserve">БЕЗВОЗМЕЗДНЫЕ </w:t>
            </w:r>
            <w:r w:rsidRPr="00F22D91">
              <w:rPr>
                <w:b/>
                <w:iCs/>
                <w:sz w:val="18"/>
                <w:szCs w:val="18"/>
              </w:rPr>
              <w:t>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9 962,8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23 533,8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17 215,3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10 182,5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33 893,7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33 407,7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Дотации бюджетам сельских поселений на выравнивание бюджетной обеспеченности (РБ)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7 288,3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8 678,0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7 493,4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2 425,6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4 784,9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1 141,4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6 852,5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99,0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МБТ передаваемые бюджетам сельских поселений приобретение жилых помещений (РБ)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5 533,5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98,8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субсидии бюджетам сельских поселений (на развитие домов культуры на 2018 год и плановый период 2019-2020 годов)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Прочие субсидии бюджетам сельских поселений (на реализацию мероприятий перечня проектов народных инициатив)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</w:p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 xml:space="preserve">Субсидии на реализацию мероприятий, направленных на </w:t>
            </w:r>
            <w:r w:rsidRPr="00F22D91">
              <w:rPr>
                <w:iCs/>
              </w:rPr>
              <w:lastRenderedPageBreak/>
              <w:t xml:space="preserve">улучшение показателей планирования и исполнения бюджетов муниципальных образований Иркутской области.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100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100,0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11 152,4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16 920,1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15 560,1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91,9</w:t>
            </w:r>
          </w:p>
        </w:tc>
      </w:tr>
      <w:tr w:rsidR="006C05BE" w:rsidRPr="00F22D91" w:rsidTr="006C05BE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Итого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13 343,2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26 631,7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20 519,3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13 410,7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38 484,2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38 407,7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99,8</w:t>
            </w:r>
          </w:p>
        </w:tc>
      </w:tr>
    </w:tbl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22D91">
        <w:rPr>
          <w:sz w:val="28"/>
          <w:szCs w:val="28"/>
        </w:rPr>
        <w:t>Анализируя исполнение бюджета поселения по доходам, можно сделать вывод, что по сравнению с уточненным планом доходная часть бюджета в 2019 году выполнена на 99,8 %, а в сравнении с первоначально утвержденными параметрами – перевыполнена на 286,0 %.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6C05BE" w:rsidRPr="00F22D91" w:rsidRDefault="006C05BE" w:rsidP="006C05BE">
      <w:pPr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Исполнение бюджета по доходам за 2019 год составило:</w:t>
      </w:r>
    </w:p>
    <w:p w:rsidR="006C05BE" w:rsidRPr="00F22D91" w:rsidRDefault="006C05BE" w:rsidP="006C05BE">
      <w:pPr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- по налоговым доходам – 3 116,4 тыс. руб. или 198,2 % уточнённого бюджета;</w:t>
      </w:r>
    </w:p>
    <w:p w:rsidR="006C05BE" w:rsidRPr="00F22D91" w:rsidRDefault="006C05BE" w:rsidP="006C05BE">
      <w:pPr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- по неналоговым доходам – 1 464,1 тыс. руб. или 103,2 % уточнённого бюджета;</w:t>
      </w:r>
    </w:p>
    <w:p w:rsidR="006C05BE" w:rsidRPr="00F22D91" w:rsidRDefault="006C05BE" w:rsidP="006C05BE">
      <w:pPr>
        <w:ind w:firstLine="709"/>
        <w:jc w:val="both"/>
        <w:rPr>
          <w:spacing w:val="-1"/>
          <w:sz w:val="28"/>
          <w:szCs w:val="28"/>
        </w:rPr>
      </w:pPr>
      <w:r w:rsidRPr="00F22D91">
        <w:rPr>
          <w:spacing w:val="-1"/>
          <w:sz w:val="28"/>
          <w:szCs w:val="28"/>
        </w:rPr>
        <w:t>- по безвозмездным поступлениям – 32 467,2 тыс. руб. или 95,8 % уточнённого бюджета.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Таким образом, из представленных данных видно, что в доходах бюджета Нийского муниципального образования доля собственных доходов не незначительна (всего 15,5 %).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Налоговые доходы: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Совокупный годовой объем бюджетных назначений по статьям, образующим налоговые доходы бюджета поселения составили – 3 172,2 тыс. рублей, а исполнены в размере 3 116,4 тыс. рублей или на 98,2 %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Анализ исполнения бюджета показал, что наблюдается и рост, и снижение поступлений по следующим доходным источникам: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налог на доходы физических лиц (увеличение составило 1,7 % по отношению к 2018 году, по отношению к 2017 году увеличение составило 7,0 %);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налогам на товары (работы, услуги), реализуемые на территории РФ (увеличение составило 38,2 % по отношению к 2018 году, по отношению к 2017 году – 25,7%).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- земельному налогу (увеличение составило 134,5 % по отношению к 2018 году, по отношению к 2017 году увеличение составило на 137 %);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lastRenderedPageBreak/>
        <w:t>- налог на имущество физических лиц (рост по отношению к 2018 году составил 14,6 %, по отношению к 2017 году 55,9 %)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Следует отметить, что в ходе исполнения бюджета поселения первоначальный план по налоговым доходам составлял 2 470,2 тыс. руб. скорректирован в сторону увеличения на 702,0 тыс. рублей или на 128,4 % и составил 3 172,2 тыс. рублей.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426"/>
        <w:jc w:val="right"/>
      </w:pPr>
      <w:r w:rsidRPr="00F22D91">
        <w:t>Таблица 4 (тыс. рублей)</w:t>
      </w:r>
    </w:p>
    <w:p w:rsidR="006C05BE" w:rsidRPr="00F22D91" w:rsidRDefault="006C05BE" w:rsidP="006C05BE">
      <w:pPr>
        <w:ind w:firstLine="426"/>
        <w:jc w:val="right"/>
      </w:pPr>
    </w:p>
    <w:tbl>
      <w:tblPr>
        <w:tblpPr w:leftFromText="180" w:rightFromText="180" w:vertAnchor="text" w:horzAnchor="margin" w:tblpXSpec="center" w:tblpY="182"/>
        <w:tblW w:w="10297" w:type="dxa"/>
        <w:tblLayout w:type="fixed"/>
        <w:tblLook w:val="04A0" w:firstRow="1" w:lastRow="0" w:firstColumn="1" w:lastColumn="0" w:noHBand="0" w:noVBand="1"/>
      </w:tblPr>
      <w:tblGrid>
        <w:gridCol w:w="3289"/>
        <w:gridCol w:w="1275"/>
        <w:gridCol w:w="1134"/>
        <w:gridCol w:w="1276"/>
        <w:gridCol w:w="1134"/>
        <w:gridCol w:w="1134"/>
        <w:gridCol w:w="1055"/>
      </w:tblGrid>
      <w:tr w:rsidR="006C05BE" w:rsidRPr="00F22D91" w:rsidTr="006C05BE">
        <w:trPr>
          <w:trHeight w:val="270"/>
          <w:tblHeader/>
        </w:trPr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Исполнено за 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Удельный вес %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Изменение показателей 2019 года (+;-)</w:t>
            </w:r>
          </w:p>
        </w:tc>
      </w:tr>
      <w:tr w:rsidR="006C05BE" w:rsidRPr="00F22D91" w:rsidTr="006C05BE">
        <w:trPr>
          <w:trHeight w:val="540"/>
          <w:tblHeader/>
        </w:trPr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к 2017г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к 2018 г</w:t>
            </w:r>
          </w:p>
        </w:tc>
      </w:tr>
      <w:tr w:rsidR="006C05BE" w:rsidRPr="00F22D91" w:rsidTr="006C05BE">
        <w:trPr>
          <w:trHeight w:val="89"/>
          <w:tblHeader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7</w:t>
            </w:r>
          </w:p>
        </w:tc>
      </w:tr>
      <w:tr w:rsidR="006C05BE" w:rsidRPr="00F22D91" w:rsidTr="006C05BE">
        <w:trPr>
          <w:trHeight w:val="303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both"/>
            </w:pPr>
            <w:r w:rsidRPr="00F22D91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1 071,5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1 127,4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</w:pPr>
            <w:r w:rsidRPr="00F22D91">
              <w:t>1 147,0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+75,5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+19,6</w:t>
            </w:r>
          </w:p>
        </w:tc>
      </w:tr>
      <w:tr w:rsidR="006C05BE" w:rsidRPr="00F22D91" w:rsidTr="006C05BE">
        <w:trPr>
          <w:trHeight w:val="551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both"/>
            </w:pPr>
            <w:r w:rsidRPr="00F22D91"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635,1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</w:pPr>
            <w:r w:rsidRPr="00F22D91">
              <w:t>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+179,6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+242,9</w:t>
            </w:r>
          </w:p>
        </w:tc>
      </w:tr>
      <w:tr w:rsidR="006C05BE" w:rsidRPr="00F22D91" w:rsidTr="006C05BE">
        <w:trPr>
          <w:trHeight w:val="424"/>
        </w:trPr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both"/>
            </w:pPr>
            <w:r w:rsidRPr="00F22D91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</w:pPr>
            <w:r w:rsidRPr="00F22D91"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+63,5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+22,6</w:t>
            </w:r>
          </w:p>
        </w:tc>
      </w:tr>
      <w:tr w:rsidR="006C05BE" w:rsidRPr="00F22D91" w:rsidTr="006C05BE">
        <w:trPr>
          <w:trHeight w:val="416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both"/>
            </w:pPr>
            <w:r w:rsidRPr="00F22D91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389,4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</w:pPr>
            <w:r w:rsidRPr="00F22D91">
              <w:t>913,1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+527,8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+523,7</w:t>
            </w:r>
          </w:p>
        </w:tc>
      </w:tr>
      <w:tr w:rsidR="006C05BE" w:rsidRPr="00F22D91" w:rsidTr="006C05BE">
        <w:trPr>
          <w:trHeight w:val="422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both"/>
            </w:pPr>
            <w:r w:rsidRPr="00F22D91"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</w:pPr>
            <w:r w:rsidRPr="00F22D91"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+0,8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-2,0</w:t>
            </w:r>
          </w:p>
        </w:tc>
      </w:tr>
      <w:tr w:rsidR="006C05BE" w:rsidRPr="00F22D91" w:rsidTr="006C05BE">
        <w:trPr>
          <w:trHeight w:val="271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2 269,2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2 309,6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3 116,4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+847,2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+806,8</w:t>
            </w:r>
          </w:p>
        </w:tc>
      </w:tr>
    </w:tbl>
    <w:p w:rsidR="006C05BE" w:rsidRPr="00F22D91" w:rsidRDefault="006C05BE" w:rsidP="006C05BE">
      <w:pPr>
        <w:ind w:firstLine="426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По данным таблицы видно, что </w:t>
      </w:r>
      <w:r w:rsidRPr="00F22D91">
        <w:rPr>
          <w:spacing w:val="1"/>
          <w:sz w:val="28"/>
          <w:szCs w:val="28"/>
        </w:rPr>
        <w:t>основными налоговыми доходами местного бюджета по итогам 2019 года традиционно</w:t>
      </w:r>
      <w:r w:rsidRPr="00F22D91">
        <w:rPr>
          <w:sz w:val="28"/>
          <w:szCs w:val="28"/>
        </w:rPr>
        <w:t xml:space="preserve"> являются налог на доходы физических лиц и земельный налог. Именно эти налоги определяют доходную базу местного бюджета.</w:t>
      </w:r>
      <w:r w:rsidRPr="00F22D91">
        <w:rPr>
          <w:spacing w:val="1"/>
          <w:sz w:val="28"/>
          <w:szCs w:val="28"/>
        </w:rPr>
        <w:t xml:space="preserve"> На их долю приходится 36,8 % и 29,3 % соответственно от общей суммы поступлений налоговых доходов в 2019 году.</w:t>
      </w:r>
    </w:p>
    <w:p w:rsidR="006C05BE" w:rsidRPr="00F22D91" w:rsidRDefault="006C05BE" w:rsidP="006C05BE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tabs>
          <w:tab w:val="left" w:pos="1530"/>
        </w:tabs>
        <w:ind w:firstLine="709"/>
        <w:jc w:val="both"/>
        <w:rPr>
          <w:i/>
          <w:spacing w:val="1"/>
          <w:sz w:val="28"/>
          <w:szCs w:val="28"/>
        </w:rPr>
      </w:pPr>
      <w:r w:rsidRPr="00F22D91">
        <w:rPr>
          <w:spacing w:val="1"/>
          <w:sz w:val="28"/>
          <w:szCs w:val="28"/>
        </w:rPr>
        <w:t>Структура налоговых доходов бюджета поселения кардинальных изменений не претерпевает, традиционно лидирующее место занимает н</w:t>
      </w:r>
      <w:r w:rsidRPr="00F22D91">
        <w:rPr>
          <w:sz w:val="28"/>
          <w:szCs w:val="28"/>
        </w:rPr>
        <w:t>алог на доходы физических лиц</w:t>
      </w:r>
      <w:r w:rsidRPr="00F22D91">
        <w:rPr>
          <w:i/>
          <w:spacing w:val="1"/>
          <w:sz w:val="28"/>
          <w:szCs w:val="28"/>
        </w:rPr>
        <w:t>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исполнено за 2019 год – 36,8 %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исполнено 2018 год – 48,8 %;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исполнено за 2017 год – 47,2 %;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Иные собственные источники приходятся на налог на товары (работы, услуги), реализуемые на территории РФ доля в общем объеме налоговых поступлений составила – 28,2 %, налог на имущество физических лиц – 5,7 %; государственная пошлина – 0,04 %.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По отношению с аналогичным периодом 2018 года, поступления увеличились на 34,9 % или в абсолютном выражении на 806,8 тыс. рублей.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Неналоговые доходы: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Совокупный годовой объем бюджетных назначений по статьям, образующим </w:t>
      </w:r>
      <w:r w:rsidRPr="00F22D91">
        <w:rPr>
          <w:sz w:val="28"/>
          <w:szCs w:val="28"/>
        </w:rPr>
        <w:lastRenderedPageBreak/>
        <w:t>неналоговые доходы бюджета поселения (1 418,3 тыс. рублей) исполнен в размере 1 464,1 тыс. рублей или на 103,2 %.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Необходимо отметить увеличение объема неналоговых доходов по отношению к предыдущим периодам.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ходе исполнения бюджета поселения первоначальный план по неналоговым доходам составлял 758,0 тыс. рублей, далее скорректирован в сторону увеличения на 187,1 % и составил 1 418,3 тыс. рублей.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Анализ изменений неналоговых доходов приведен в нижеследующей таблице: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426"/>
        <w:jc w:val="right"/>
      </w:pPr>
      <w:r w:rsidRPr="00F22D91">
        <w:t>Таблица 5 (тыс. рублей)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992"/>
        <w:gridCol w:w="1276"/>
        <w:gridCol w:w="992"/>
        <w:gridCol w:w="1134"/>
        <w:gridCol w:w="992"/>
      </w:tblGrid>
      <w:tr w:rsidR="006C05BE" w:rsidRPr="00F22D91" w:rsidTr="006C05BE">
        <w:trPr>
          <w:trHeight w:val="240"/>
          <w:tblHeader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snapToGrid w:val="0"/>
              <w:jc w:val="both"/>
              <w:rPr>
                <w:b/>
                <w:bCs/>
              </w:rPr>
            </w:pPr>
          </w:p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2017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2018год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Исполнено за 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Удельный вес %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6C05BE" w:rsidRPr="00F22D91" w:rsidRDefault="006C05BE" w:rsidP="006C05BE">
            <w:pPr>
              <w:jc w:val="both"/>
            </w:pPr>
            <w:r w:rsidRPr="00F22D91">
              <w:rPr>
                <w:b/>
                <w:bCs/>
              </w:rPr>
              <w:t>Изменение показателей 2019 года (+;-)</w:t>
            </w:r>
          </w:p>
        </w:tc>
      </w:tr>
      <w:tr w:rsidR="006C05BE" w:rsidRPr="00F22D91" w:rsidTr="006C05BE">
        <w:trPr>
          <w:trHeight w:val="540"/>
          <w:tblHeader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Исполнено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к 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C05BE" w:rsidRPr="00F22D91" w:rsidRDefault="006C05BE" w:rsidP="006C05BE">
            <w:pPr>
              <w:jc w:val="both"/>
            </w:pPr>
            <w:r w:rsidRPr="00F22D91">
              <w:rPr>
                <w:b/>
                <w:bCs/>
              </w:rPr>
              <w:t>к 2018г</w:t>
            </w:r>
          </w:p>
        </w:tc>
      </w:tr>
      <w:tr w:rsidR="006C05BE" w:rsidRPr="00F22D91" w:rsidTr="006C05BE">
        <w:trPr>
          <w:trHeight w:val="89"/>
          <w:tblHeader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5BE" w:rsidRPr="00F22D91" w:rsidRDefault="006C05BE" w:rsidP="006C05BE">
            <w:pPr>
              <w:jc w:val="center"/>
            </w:pPr>
            <w:r w:rsidRPr="00F22D91">
              <w:rPr>
                <w:b/>
              </w:rPr>
              <w:t>7</w:t>
            </w:r>
          </w:p>
        </w:tc>
      </w:tr>
      <w:tr w:rsidR="006C05BE" w:rsidRPr="00F22D91" w:rsidTr="006C05BE">
        <w:trPr>
          <w:trHeight w:val="2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05BE" w:rsidRPr="00F22D91" w:rsidRDefault="006C05BE" w:rsidP="006C05BE">
            <w:pPr>
              <w:jc w:val="both"/>
            </w:pPr>
            <w:r w:rsidRPr="00F22D91"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22D91">
              <w:rPr>
                <w:rFonts w:eastAsia="Arial Unicode MS"/>
                <w:sz w:val="22"/>
                <w:szCs w:val="22"/>
              </w:rPr>
              <w:t>299,3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478,3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1 020,5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+721,2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+542,2</w:t>
            </w:r>
          </w:p>
        </w:tc>
      </w:tr>
      <w:tr w:rsidR="006C05BE" w:rsidRPr="00F22D91" w:rsidTr="006C05BE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05BE" w:rsidRPr="00F22D91" w:rsidRDefault="006C05BE" w:rsidP="006C05BE">
            <w:pPr>
              <w:jc w:val="both"/>
            </w:pPr>
            <w:r w:rsidRPr="00F22D91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22D91">
              <w:rPr>
                <w:rFonts w:eastAsia="Arial Unicode MS"/>
                <w:sz w:val="22"/>
                <w:szCs w:val="22"/>
              </w:rPr>
              <w:t>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404,7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-54,4</w:t>
            </w:r>
          </w:p>
        </w:tc>
      </w:tr>
      <w:tr w:rsidR="006C05BE" w:rsidRPr="00F22D91" w:rsidTr="006C05BE">
        <w:trPr>
          <w:trHeight w:val="358"/>
        </w:trPr>
        <w:tc>
          <w:tcPr>
            <w:tcW w:w="35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C05BE" w:rsidRPr="00F22D91" w:rsidRDefault="006C05BE" w:rsidP="006C05BE">
            <w:pPr>
              <w:jc w:val="both"/>
            </w:pPr>
            <w:r w:rsidRPr="00F22D91">
              <w:rPr>
                <w:spacing w:val="-2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22D91">
              <w:rPr>
                <w:rFonts w:eastAsia="Arial Unicode MS"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+12,5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-3,5</w:t>
            </w:r>
          </w:p>
        </w:tc>
      </w:tr>
      <w:tr w:rsidR="006C05BE" w:rsidRPr="00F22D91" w:rsidTr="006C05BE">
        <w:trPr>
          <w:trHeight w:val="548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05BE" w:rsidRPr="00F22D91" w:rsidRDefault="006C05BE" w:rsidP="006C05BE">
            <w:pPr>
              <w:jc w:val="both"/>
              <w:rPr>
                <w:spacing w:val="-2"/>
              </w:rPr>
            </w:pPr>
            <w:r w:rsidRPr="00F22D91">
              <w:rPr>
                <w:spacing w:val="-2"/>
              </w:rPr>
              <w:t>Денежные взыскания (штрафы)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22D91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pacing w:line="120" w:lineRule="auto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</w:t>
            </w:r>
          </w:p>
        </w:tc>
      </w:tr>
      <w:tr w:rsidR="006C05BE" w:rsidRPr="00F22D91" w:rsidTr="006C05BE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05BE" w:rsidRPr="00F22D91" w:rsidRDefault="006C05BE" w:rsidP="006C05BE">
            <w:pPr>
              <w:jc w:val="both"/>
            </w:pPr>
            <w:r w:rsidRPr="00F22D91">
              <w:rPr>
                <w:spacing w:val="-2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22D91">
              <w:rPr>
                <w:rFonts w:eastAsia="Arial Unicode MS"/>
                <w:sz w:val="22"/>
                <w:szCs w:val="22"/>
              </w:rPr>
              <w:t>148,3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-144,5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-21,6</w:t>
            </w:r>
          </w:p>
        </w:tc>
      </w:tr>
      <w:tr w:rsidR="006C05BE" w:rsidRPr="00F22D91" w:rsidTr="006C05BE">
        <w:trPr>
          <w:trHeight w:val="30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828,7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1 464,1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559,0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+462,7</w:t>
            </w:r>
          </w:p>
        </w:tc>
      </w:tr>
    </w:tbl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структуре неналоговых доходов местного бюджета наибольший удельный вес в 2019 году занимают «Доходы, поступающие в порядке возмещения расходов, понесённых в связи с эксплуатацией имущества сельских поселений – 69,7 % от общей суммы неналоговых доходов бюджета.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Уточнения бюджетных назначений выполнены по следующим неналоговым доходам: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доходы, поступающие в порядке возмещения расходов, понесённых в связи с эксплуатацией имущества сельских поселений – поступление составило 1 020,5 тыс. рублей при плане 984,0 тыс. рублей или 103,7 %;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- доходы от сдачи в аренду имущества, составляющего казну поселений (за исключением земельных участков) – поступление составило 350,3 тыс. рублей при плане 341,0 тыс. рублей или 102,7 %;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F22D91">
        <w:rPr>
          <w:sz w:val="28"/>
          <w:szCs w:val="28"/>
        </w:rPr>
        <w:t xml:space="preserve">- </w:t>
      </w:r>
      <w:r w:rsidRPr="00F22D91">
        <w:rPr>
          <w:spacing w:val="-2"/>
          <w:sz w:val="28"/>
          <w:szCs w:val="28"/>
        </w:rPr>
        <w:t>прочие доходы от оказания платных услуг (работ) получателями средств бюджета сельских поселений – поступление составил 37,0 тыс. рублей при плане 37,0 тыс. рублей или 100,0 %;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F22D91">
        <w:rPr>
          <w:spacing w:val="-2"/>
          <w:sz w:val="28"/>
          <w:szCs w:val="28"/>
        </w:rPr>
        <w:lastRenderedPageBreak/>
        <w:t>- прочие доходы от компенсаций затрат бюджетов сельских поселений – поступление составило 56,3 тыс. рублей при плане 56,3 тыс. рублей или 100,0 %.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Безвозмездные поступления: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Объем средств бюджета поселения в виде безвозмездных поступлений, полученных в 2019 году, составил 33 827,2 тыс. руб. или 96,5 % к плановым показателям годовой бюджетной отчетности, что в удельном весе составило 87,1 % от поступивших доходов в бюджет поселения. 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Поступившие в бюджет поселения в 2019 году безвозмездные поступления превысили объем, первоначально запланированный в бюджете (10 182,5 тыс. рублей) на 23 225,2 тыс. рублей. 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91">
        <w:rPr>
          <w:rFonts w:hint="eastAsia"/>
          <w:sz w:val="28"/>
          <w:szCs w:val="28"/>
        </w:rPr>
        <w:t>Данные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по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исполнению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законодательно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утвержденных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бюджетных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назначений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в</w:t>
      </w:r>
      <w:r w:rsidRPr="00F22D91">
        <w:rPr>
          <w:sz w:val="28"/>
          <w:szCs w:val="28"/>
        </w:rPr>
        <w:t xml:space="preserve"> 2019 </w:t>
      </w:r>
      <w:r w:rsidRPr="00F22D91">
        <w:rPr>
          <w:rFonts w:hint="eastAsia"/>
          <w:sz w:val="28"/>
          <w:szCs w:val="28"/>
        </w:rPr>
        <w:t>году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представлены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в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таблице</w:t>
      </w:r>
      <w:r w:rsidRPr="00F22D91">
        <w:rPr>
          <w:sz w:val="28"/>
          <w:szCs w:val="28"/>
        </w:rPr>
        <w:t>:</w:t>
      </w:r>
    </w:p>
    <w:p w:rsidR="006C05BE" w:rsidRPr="00F22D91" w:rsidRDefault="006C05BE" w:rsidP="006C05BE">
      <w:pPr>
        <w:pStyle w:val="ae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F22D91">
        <w:rPr>
          <w:sz w:val="20"/>
          <w:szCs w:val="20"/>
        </w:rPr>
        <w:t>Таблица 6 (тыс. руб.)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134"/>
        <w:gridCol w:w="850"/>
        <w:gridCol w:w="992"/>
        <w:gridCol w:w="1134"/>
      </w:tblGrid>
      <w:tr w:rsidR="006C05BE" w:rsidRPr="00F22D91" w:rsidTr="006C05BE">
        <w:tc>
          <w:tcPr>
            <w:tcW w:w="2660" w:type="dxa"/>
            <w:vMerge w:val="restart"/>
            <w:vAlign w:val="center"/>
          </w:tcPr>
          <w:p w:rsidR="006C05BE" w:rsidRPr="00F22D91" w:rsidRDefault="006C05BE" w:rsidP="006C05BE">
            <w:pPr>
              <w:pStyle w:val="ae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Исполнено в 2017 году</w:t>
            </w:r>
          </w:p>
        </w:tc>
        <w:tc>
          <w:tcPr>
            <w:tcW w:w="1134" w:type="dxa"/>
            <w:vMerge w:val="restart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Исполнено в 2018 году</w:t>
            </w:r>
          </w:p>
        </w:tc>
        <w:tc>
          <w:tcPr>
            <w:tcW w:w="1276" w:type="dxa"/>
            <w:vMerge w:val="restart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2D91">
              <w:rPr>
                <w:b/>
              </w:rPr>
              <w:t>Исполнено за 2019 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2D91">
              <w:rPr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6C05BE" w:rsidRPr="00F22D91" w:rsidTr="006C05BE">
        <w:trPr>
          <w:trHeight w:val="442"/>
        </w:trPr>
        <w:tc>
          <w:tcPr>
            <w:tcW w:w="2660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2D91">
              <w:rPr>
                <w:b/>
              </w:rPr>
              <w:t xml:space="preserve">В %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</w:pPr>
          </w:p>
        </w:tc>
      </w:tr>
      <w:tr w:rsidR="006C05BE" w:rsidRPr="00F22D91" w:rsidTr="006C05BE">
        <w:trPr>
          <w:trHeight w:val="646"/>
        </w:trPr>
        <w:tc>
          <w:tcPr>
            <w:tcW w:w="2660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К 2017 году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22D91">
              <w:rPr>
                <w:b/>
              </w:rPr>
              <w:t>К 2018 году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</w:pPr>
          </w:p>
        </w:tc>
      </w:tr>
      <w:tr w:rsidR="006C05BE" w:rsidRPr="00F22D91" w:rsidTr="006C05BE">
        <w:trPr>
          <w:trHeight w:val="70"/>
        </w:trPr>
        <w:tc>
          <w:tcPr>
            <w:tcW w:w="2660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05BE" w:rsidRPr="00F22D91" w:rsidRDefault="006C05BE" w:rsidP="006C05BE">
            <w:pPr>
              <w:pStyle w:val="a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22D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9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134"/>
        <w:gridCol w:w="1276"/>
        <w:gridCol w:w="1134"/>
        <w:gridCol w:w="850"/>
        <w:gridCol w:w="992"/>
        <w:gridCol w:w="1134"/>
      </w:tblGrid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23 533,8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17 215,3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33 893,7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33 827,2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88,1</w:t>
            </w:r>
          </w:p>
        </w:tc>
      </w:tr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</w:rPr>
            </w:pPr>
            <w:r w:rsidRPr="00F22D91">
              <w:rPr>
                <w:iCs/>
              </w:rPr>
              <w:t>Дотации бюджетам сельских поселений на выравнивание бюджетной обеспеченности (РБ)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8 678,0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7 493,4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9 882,1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9 882,1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iCs/>
                <w:sz w:val="22"/>
                <w:szCs w:val="22"/>
              </w:rPr>
            </w:pPr>
            <w:r w:rsidRPr="00F22D91">
              <w:rPr>
                <w:iCs/>
                <w:sz w:val="22"/>
                <w:szCs w:val="22"/>
              </w:rPr>
              <w:t>25,7</w:t>
            </w:r>
          </w:p>
        </w:tc>
      </w:tr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4 784,9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1 141,4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6 852,5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6 786,0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17,7</w:t>
            </w:r>
          </w:p>
        </w:tc>
      </w:tr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0,6</w:t>
            </w:r>
          </w:p>
        </w:tc>
      </w:tr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iCs/>
              </w:rPr>
              <w:t>Прочие межбюджетные трансферты, передаваемые бюджетам сельских поселений (в целях софинансирования расходных обязательств органов местного самоуправления поселений на обеспечение проживающих в поселении и нуждающихся в жилых помещениях граждан жилыми помещениями (РБ)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1 360,0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3,5</w:t>
            </w:r>
          </w:p>
        </w:tc>
      </w:tr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</w:rPr>
            </w:pPr>
            <w:r w:rsidRPr="00F22D91"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9 839,4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11 152,4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15 560,1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15 560,1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</w:rPr>
            </w:pPr>
            <w:r w:rsidRPr="00F22D91">
              <w:rPr>
                <w:b/>
                <w:iCs/>
                <w:sz w:val="22"/>
                <w:szCs w:val="22"/>
              </w:rPr>
              <w:t>40,5</w:t>
            </w:r>
          </w:p>
        </w:tc>
      </w:tr>
      <w:tr w:rsidR="006C05BE" w:rsidRPr="00F22D91" w:rsidTr="006C05B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u w:val="single"/>
              </w:rPr>
            </w:pPr>
            <w:r w:rsidRPr="00F22D91">
              <w:rPr>
                <w:b/>
                <w:iCs/>
                <w:u w:val="single"/>
              </w:rPr>
              <w:t>Итого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26 631,7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20 519,3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38 484,2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38 407,7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22D91">
              <w:rPr>
                <w:b/>
                <w:iCs/>
                <w:sz w:val="22"/>
                <w:szCs w:val="22"/>
                <w:u w:val="single"/>
              </w:rPr>
              <w:t>100,0</w:t>
            </w:r>
          </w:p>
        </w:tc>
      </w:tr>
    </w:tbl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right="16" w:firstLine="709"/>
        <w:jc w:val="both"/>
        <w:rPr>
          <w:sz w:val="28"/>
          <w:szCs w:val="28"/>
        </w:rPr>
      </w:pPr>
      <w:r w:rsidRPr="00F22D91">
        <w:rPr>
          <w:rFonts w:eastAsia="Calibri"/>
          <w:sz w:val="28"/>
          <w:szCs w:val="28"/>
          <w:lang w:eastAsia="en-US"/>
        </w:rPr>
        <w:t>По сравнению с 2018 годом наблюдается рост показателя исполнено составило 17 888,4 тыс. рублей или 87,2 %.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lastRenderedPageBreak/>
        <w:t xml:space="preserve">Увеличение безвозмездных поступлений в 2019 году к уровню 2018 года обусловлено: 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 xml:space="preserve">- ростом объема дотаций на 31,9 %; 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>- ростом объема субсидий на 494,5 %;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>- ростом объема субвенций на 11,6 %;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>- ростом иных МБТ на 96,5 %.</w:t>
      </w:r>
    </w:p>
    <w:p w:rsidR="006C05BE" w:rsidRPr="00F22D91" w:rsidRDefault="006C05BE" w:rsidP="006C05BE">
      <w:pPr>
        <w:ind w:firstLine="709"/>
        <w:jc w:val="both"/>
        <w:rPr>
          <w:i/>
          <w:sz w:val="28"/>
          <w:szCs w:val="28"/>
        </w:rPr>
      </w:pPr>
      <w:r w:rsidRPr="00F22D91">
        <w:rPr>
          <w:sz w:val="28"/>
          <w:szCs w:val="28"/>
        </w:rPr>
        <w:t>Безвозмездные поступления в 2019 году поступили и освоены в объёме (99,8%.)</w:t>
      </w:r>
      <w:r w:rsidRPr="00F22D91">
        <w:rPr>
          <w:i/>
          <w:sz w:val="28"/>
          <w:szCs w:val="28"/>
        </w:rPr>
        <w:t>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22D91">
        <w:rPr>
          <w:b/>
          <w:bCs/>
          <w:sz w:val="28"/>
          <w:szCs w:val="28"/>
        </w:rPr>
        <w:t>Исполнение расходной части бюджета Нийского муниципального образования за 2019 год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ходе исполнения местного бюджета в 2019 году было принято 11 решений «О внесении изменений и дополнений в Решение Думы Нийского сельского поселения «О бюджете Нийского муниципального образования на 2019 и на плановый период 2020 и 2021 годов» и внесении изменений в бюджетную роспись на 2019 год.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результате внесения изменений и дополнений в бюджет поселения на 2019 год расходная часть бюджета по сравнению с первоначальными значениями увеличена на 286,4 % и составила 38 875,3 тыс. рублей. </w:t>
      </w:r>
    </w:p>
    <w:p w:rsidR="006C05BE" w:rsidRPr="00F22D91" w:rsidRDefault="006C05BE" w:rsidP="006C05BE">
      <w:pPr>
        <w:widowControl/>
        <w:tabs>
          <w:tab w:val="left" w:pos="0"/>
        </w:tabs>
        <w:autoSpaceDE/>
        <w:autoSpaceDN/>
        <w:adjustRightInd/>
        <w:ind w:firstLine="567"/>
        <w:jc w:val="right"/>
      </w:pPr>
      <w:r w:rsidRPr="00F22D91">
        <w:t>Таблица № 7 (тыс. рублей)</w:t>
      </w:r>
    </w:p>
    <w:p w:rsidR="006C05BE" w:rsidRPr="00F22D91" w:rsidRDefault="006C05BE" w:rsidP="006C05BE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993"/>
        <w:gridCol w:w="1842"/>
        <w:gridCol w:w="2127"/>
        <w:gridCol w:w="1134"/>
        <w:gridCol w:w="992"/>
      </w:tblGrid>
      <w:tr w:rsidR="006C05BE" w:rsidRPr="00F22D91" w:rsidTr="006C05BE">
        <w:trPr>
          <w:trHeight w:val="7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Утвержденные</w:t>
            </w:r>
          </w:p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бюджетные</w:t>
            </w:r>
          </w:p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назначения</w:t>
            </w:r>
          </w:p>
          <w:p w:rsidR="006C05BE" w:rsidRPr="00F22D91" w:rsidRDefault="006C05BE" w:rsidP="006C05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Решением Думы от 27.12.2018 г. № 359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Утвержденные</w:t>
            </w:r>
          </w:p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бюджетные</w:t>
            </w:r>
          </w:p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назначения</w:t>
            </w:r>
          </w:p>
          <w:p w:rsidR="006C05BE" w:rsidRPr="00F22D91" w:rsidRDefault="006C05BE" w:rsidP="006C05BE">
            <w:pPr>
              <w:ind w:right="-161"/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Решением Думы от 27.12.2019</w:t>
            </w:r>
          </w:p>
          <w:p w:rsidR="006C05BE" w:rsidRPr="00F22D91" w:rsidRDefault="006C05BE" w:rsidP="006C05BE">
            <w:pPr>
              <w:ind w:right="-161"/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№ 382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Изменение показателей (+,-),  на %</w:t>
            </w:r>
          </w:p>
        </w:tc>
      </w:tr>
      <w:tr w:rsidR="006C05BE" w:rsidRPr="00F22D91" w:rsidTr="006C05BE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6</w:t>
            </w:r>
          </w:p>
        </w:tc>
      </w:tr>
      <w:tr w:rsidR="006C05BE" w:rsidRPr="00F22D91" w:rsidTr="006C05BE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Расходы,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E" w:rsidRPr="00F22D91" w:rsidRDefault="006C05BE" w:rsidP="006C05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13 572,1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sz w:val="22"/>
                <w:szCs w:val="22"/>
              </w:rPr>
            </w:pPr>
            <w:r w:rsidRPr="00F22D91">
              <w:rPr>
                <w:b/>
                <w:sz w:val="22"/>
                <w:szCs w:val="22"/>
              </w:rPr>
              <w:t>38 875,3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+25 303,2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F22D91">
              <w:rPr>
                <w:b/>
                <w:bCs/>
                <w:sz w:val="22"/>
                <w:szCs w:val="22"/>
              </w:rPr>
              <w:t>286,4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7 670,5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9 483,0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+1 812,5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123,6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0,0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755,7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1 277,6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169,1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1 131,8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22 717,1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+21 585,3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2 007,2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100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3 670,9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4 941,2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+1 270,3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134,6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262,7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+62,7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131,3</w:t>
            </w:r>
          </w:p>
        </w:tc>
      </w:tr>
      <w:tr w:rsidR="006C05BE" w:rsidRPr="00F22D91" w:rsidTr="006C05BE">
        <w:trPr>
          <w:trHeight w:val="4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sz w:val="22"/>
                <w:szCs w:val="22"/>
              </w:rPr>
            </w:pPr>
            <w:r w:rsidRPr="00F22D91">
              <w:rPr>
                <w:sz w:val="22"/>
                <w:szCs w:val="22"/>
              </w:rPr>
              <w:t>100</w:t>
            </w:r>
          </w:p>
        </w:tc>
      </w:tr>
    </w:tbl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 xml:space="preserve">По разделам классификации расходов бюджета изменения отмечены как в сторону увеличения, так и в сторону уменьшения. 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>Наибольшие изменения при распределении бюджетных ассигнований в 2019 году отмечены: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lastRenderedPageBreak/>
        <w:t>-по разделу (0500) «Жилищно-коммунальное хозяйство» - увеличение расходов на 21 585,3 тыс. рублей (более чем в 10 раз). Согласно Пояснительной записки значительное увеличение расходов связано исполнением судебных актов, оплата основного долга технологических потерь электрических сетей, а также оплата судебных расходов (госпошлина). Приобретено оборудованием для котельной, замена паровых котлов, приобретение, обслуживание теплосчетчика. Оплата коммунальных услуг и электроснабжение на уличное освещение. Также отражены расходы на реализацию перечня проектов народных инициатив (приобретение и установка фонарей уличного освещения)</w:t>
      </w:r>
    </w:p>
    <w:p w:rsidR="006C05BE" w:rsidRPr="00F22D91" w:rsidRDefault="006C05BE" w:rsidP="006C05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2D91">
        <w:rPr>
          <w:color w:val="auto"/>
          <w:sz w:val="28"/>
          <w:szCs w:val="28"/>
        </w:rPr>
        <w:t>- по разделу (0100) «Общегосударственные вопросы» – увеличение расходов на 1 812,5 тыс. рублей или на 23,6 %. Увеличение расходов связано ростом ФОТ главы Администрации Нийского муниципального образования за счет увеличения численности населения. Увеличением заработной платы на 4 % сотрудников. Увеличением расходов на коммунальные услуги (повышение тарифов), Увеличение расходов по переданным полномочиям по заключенным соглашениям из бюджета поселения бюджету района.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В соответствии с отчетом «Об исполнении бюджета Нийского муниципального образования за 2019 год» исполнение бюджета составило 37 628,6 тыс. рублей или 96,8 % к уточненному плану.</w:t>
      </w:r>
    </w:p>
    <w:p w:rsidR="006C05BE" w:rsidRPr="00F22D91" w:rsidRDefault="006C05BE" w:rsidP="006C05BE">
      <w:pPr>
        <w:ind w:firstLine="709"/>
        <w:jc w:val="both"/>
        <w:rPr>
          <w:rFonts w:ascii="Calibri" w:hAnsi="Calibri"/>
          <w:sz w:val="28"/>
          <w:szCs w:val="28"/>
        </w:rPr>
      </w:pPr>
      <w:r w:rsidRPr="00F22D91">
        <w:rPr>
          <w:sz w:val="28"/>
          <w:szCs w:val="28"/>
        </w:rPr>
        <w:t>Объем расходной части бюджета увеличился по сравнению с аналогичным периодом прошлого года на 14 397,3 тыс. рублей или 62,0 %. По сравнению с отчётным периодом 2017 года прирост фактических расходов составил 13 920,1 тыс. рублей или 58,7 %.</w:t>
      </w:r>
    </w:p>
    <w:p w:rsidR="006C05BE" w:rsidRPr="00F22D91" w:rsidRDefault="006C05BE" w:rsidP="006C05BE">
      <w:pPr>
        <w:pStyle w:val="aa"/>
        <w:tabs>
          <w:tab w:val="left" w:pos="0"/>
        </w:tabs>
        <w:spacing w:after="0"/>
        <w:ind w:firstLine="567"/>
        <w:jc w:val="right"/>
      </w:pPr>
      <w:r w:rsidRPr="00F22D91">
        <w:t>Таблица 8 (тыс. рублей)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3"/>
        <w:gridCol w:w="745"/>
        <w:gridCol w:w="1017"/>
        <w:gridCol w:w="992"/>
        <w:gridCol w:w="1218"/>
        <w:gridCol w:w="1163"/>
        <w:gridCol w:w="851"/>
        <w:gridCol w:w="851"/>
        <w:gridCol w:w="851"/>
      </w:tblGrid>
      <w:tr w:rsidR="006C05BE" w:rsidRPr="00F22D91" w:rsidTr="006C05BE">
        <w:trPr>
          <w:trHeight w:val="7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  <w:r w:rsidRPr="00F22D91">
              <w:rPr>
                <w:b/>
              </w:rPr>
              <w:t>раздел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  <w:r w:rsidRPr="00F22D91">
              <w:rPr>
                <w:b/>
              </w:rPr>
              <w:t>Исполнение</w:t>
            </w:r>
          </w:p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Уточненный план на 2019 год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Исполнено за 2019 год</w:t>
            </w:r>
          </w:p>
        </w:tc>
      </w:tr>
      <w:tr w:rsidR="006C05BE" w:rsidRPr="00F22D91" w:rsidTr="006C05BE">
        <w:trPr>
          <w:trHeight w:val="7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Сумма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  <w:r w:rsidRPr="00F22D91">
              <w:rPr>
                <w:b/>
              </w:rPr>
              <w:t>В % к</w:t>
            </w:r>
          </w:p>
        </w:tc>
      </w:tr>
      <w:tr w:rsidR="006C05BE" w:rsidRPr="00F22D91" w:rsidTr="006C05BE">
        <w:trPr>
          <w:trHeight w:val="306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  <w:r w:rsidRPr="00F22D91">
              <w:rPr>
                <w:b/>
              </w:rPr>
              <w:t>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ind w:left="-108"/>
              <w:jc w:val="center"/>
              <w:rPr>
                <w:b/>
              </w:rPr>
            </w:pPr>
            <w:r w:rsidRPr="00F22D91">
              <w:rPr>
                <w:b/>
              </w:rPr>
              <w:t>за 2018 год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  <w:rPr>
                <w:b/>
              </w:rPr>
            </w:pPr>
            <w:r w:rsidRPr="00F22D91">
              <w:rPr>
                <w:b/>
              </w:rPr>
              <w:t>2017г.</w:t>
            </w:r>
          </w:p>
        </w:tc>
      </w:tr>
      <w:tr w:rsidR="006C05BE" w:rsidRPr="00F22D91" w:rsidTr="006C05BE">
        <w:trPr>
          <w:trHeight w:val="299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</w:pPr>
            <w:r w:rsidRPr="00F22D91"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</w:pPr>
            <w:r w:rsidRPr="00F22D91"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center"/>
            </w:pPr>
            <w:r w:rsidRPr="00F22D91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center"/>
            </w:pPr>
            <w:r w:rsidRPr="00F22D9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utoSpaceDN/>
              <w:adjustRightInd/>
              <w:jc w:val="center"/>
            </w:pPr>
            <w:r w:rsidRPr="00F22D91"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autoSpaceDE/>
              <w:adjustRightInd/>
              <w:jc w:val="center"/>
            </w:pPr>
            <w:r w:rsidRPr="00F22D91"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autoSpaceDE/>
              <w:adjustRightInd/>
              <w:jc w:val="center"/>
            </w:pPr>
            <w:r w:rsidRPr="00F22D9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</w:pPr>
            <w:r w:rsidRPr="00F22D9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</w:pPr>
            <w:r w:rsidRPr="00F22D9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autoSpaceDE/>
              <w:adjustRightInd/>
              <w:jc w:val="center"/>
            </w:pPr>
            <w:r w:rsidRPr="00F22D91">
              <w:t>11</w:t>
            </w:r>
          </w:p>
        </w:tc>
      </w:tr>
      <w:tr w:rsidR="006C05BE" w:rsidRPr="00F22D91" w:rsidTr="006C05BE">
        <w:trPr>
          <w:trHeight w:val="403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Расходы, в т.ч.: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23 708,5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23 231,3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38 875,3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37 628,6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158,7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0100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6 446,0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7 135,5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9 483,0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9 480,3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132,9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147,1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0200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120,9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138,2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114,3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124,1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0400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488,5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1 277,6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138,4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0500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11 351,6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10 869,1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22 717,1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22 650,6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199,5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0700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55,5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Культура, кинематография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0800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4 637,7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4 403,9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4 941,2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4 941,2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106,5</w:t>
            </w:r>
          </w:p>
        </w:tc>
      </w:tr>
      <w:tr w:rsidR="006C05BE" w:rsidRPr="00F22D91" w:rsidTr="006C05BE">
        <w:trPr>
          <w:trHeight w:val="48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1.8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widowControl/>
              <w:tabs>
                <w:tab w:val="left" w:pos="0"/>
              </w:tabs>
              <w:autoSpaceDE/>
              <w:adjustRightInd/>
              <w:jc w:val="both"/>
            </w:pPr>
            <w:r w:rsidRPr="00F22D91"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1000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213,4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E" w:rsidRPr="00F22D91" w:rsidRDefault="006C05BE" w:rsidP="006C05BE">
            <w:pPr>
              <w:jc w:val="both"/>
            </w:pPr>
            <w:r w:rsidRPr="00F22D91">
              <w:t>262,7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123,1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E" w:rsidRPr="00F22D91" w:rsidRDefault="006C05BE" w:rsidP="006C05BE">
            <w:pPr>
              <w:jc w:val="both"/>
            </w:pPr>
            <w:r w:rsidRPr="00F22D91">
              <w:t>110,2</w:t>
            </w:r>
          </w:p>
        </w:tc>
      </w:tr>
    </w:tbl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Из приведенных данных следует, что основной удельный вес в составе произведенных расходов бюджета за 2019 год занимают расходы по разделу </w:t>
      </w:r>
      <w:r w:rsidRPr="00F22D91">
        <w:rPr>
          <w:sz w:val="28"/>
          <w:szCs w:val="28"/>
        </w:rPr>
        <w:lastRenderedPageBreak/>
        <w:t xml:space="preserve">«Жилищно-коммунальное хозяйство» - 58,4 %. </w:t>
      </w:r>
      <w:r w:rsidRPr="00F22D91">
        <w:rPr>
          <w:spacing w:val="-1"/>
          <w:sz w:val="28"/>
          <w:szCs w:val="28"/>
        </w:rPr>
        <w:t>По сравнению с 2018 годом н</w:t>
      </w:r>
      <w:r w:rsidRPr="00F22D91">
        <w:rPr>
          <w:sz w:val="28"/>
          <w:szCs w:val="28"/>
        </w:rPr>
        <w:t>аблюдается рост не только удельного веса расходов по данному разделу, но и объемов выделенных средств на 11</w:t>
      </w:r>
      <w:r w:rsidRPr="00F22D91">
        <w:rPr>
          <w:sz w:val="28"/>
          <w:szCs w:val="28"/>
          <w:lang w:val="en-US"/>
        </w:rPr>
        <w:t> </w:t>
      </w:r>
      <w:r w:rsidRPr="00F22D91">
        <w:rPr>
          <w:sz w:val="28"/>
          <w:szCs w:val="28"/>
        </w:rPr>
        <w:t xml:space="preserve">781.5 тыс. рублей.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Расходы на обеспечение отраслей социальной сферы поселения (образование, культура, социальная политика) составили 14,0 % всех расходов бюджета или 5 259,40 тыс. рублей. Исполнение социальных расходов составляет 100,0 % от утвержденного плана.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2019 году отмечается рост финансирования отраслей социально-культурной сферы. 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right="42"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Расходная часть бюджета также направлена на финансирование расходов, связанных с управлением и развитием экономики – 25,5 % (9 580,4 тыс. рублей) всех расходов бюджета. </w:t>
      </w:r>
    </w:p>
    <w:p w:rsidR="006C05BE" w:rsidRPr="00F22D91" w:rsidRDefault="006C05BE" w:rsidP="006C05BE">
      <w:pPr>
        <w:widowControl/>
        <w:autoSpaceDE/>
        <w:ind w:right="42"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Анализируя данные, представленные в таблице можно сделать выводы о незначительности расходов на национальную оборону (0,4 %); на национальную экономику (0,3 %). </w:t>
      </w:r>
    </w:p>
    <w:p w:rsidR="006C05BE" w:rsidRPr="00F22D91" w:rsidRDefault="006C05BE" w:rsidP="006C05BE">
      <w:pPr>
        <w:ind w:firstLine="709"/>
        <w:jc w:val="both"/>
        <w:rPr>
          <w:rFonts w:eastAsia="TT1Bo00"/>
          <w:sz w:val="28"/>
          <w:szCs w:val="28"/>
        </w:rPr>
      </w:pPr>
      <w:r w:rsidRPr="00F22D91">
        <w:rPr>
          <w:spacing w:val="1"/>
          <w:sz w:val="28"/>
          <w:szCs w:val="28"/>
        </w:rPr>
        <w:t xml:space="preserve">Анализ расходов бюджета поселения по разделам бюджетной классификации показал, исполнение от </w:t>
      </w:r>
      <w:r w:rsidRPr="00F22D91">
        <w:rPr>
          <w:rFonts w:eastAsia="TT1Bo00"/>
          <w:sz w:val="28"/>
          <w:szCs w:val="28"/>
        </w:rPr>
        <w:t>общего объема законодательно утвержденных бюджетных ассигнований в 2019 году составляет 96,8 %.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pacing w:val="1"/>
          <w:sz w:val="28"/>
          <w:szCs w:val="28"/>
        </w:rPr>
        <w:t>В полном объеме на 100,0% к плановым назначениям на 2019 год исполнены расходы по следующим разделам классификации расходов: «Национальная оборона», «Образование», «Культура и кинематография», «Социальная политика».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pacing w:val="1"/>
          <w:sz w:val="28"/>
          <w:szCs w:val="28"/>
        </w:rPr>
      </w:pPr>
      <w:r w:rsidRPr="00F22D91">
        <w:rPr>
          <w:spacing w:val="1"/>
          <w:sz w:val="28"/>
          <w:szCs w:val="28"/>
        </w:rPr>
        <w:t xml:space="preserve">Общий объем неисполненных расходов в 2019 году составил 1 246,7 тыс. рублей План по расходам не исполнен на 3,2 %, что больше, чем в предыдущем году на 1,6 % (в 2018 году неисполненные расходы составили 388,0 тыс. рублей или 1,6%).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Согласно Положению «О порядке использования бюджетных ассигнований резервного фонда Администрации Нийского сельского поселения», утвержденного Постановлением Главы Администрации от 22.08.2013 № 65-п, главным распорядителем средств Фонда является Администрация Нийского муниципального образования.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Первоначально Решением Думы Нийского сельского поселения от 27.12.2018 № 359 статьей 6 создан Резервный фонд на 2019 год в сумме 5,0 тыс. рублей. Согласно отчету, об использовании средств муниципального дорожного фонда Нийского МО за 2019 год фактическое исполнение составило 0,00 рублей.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05BE" w:rsidRPr="00F22D91" w:rsidRDefault="006C05BE" w:rsidP="006C05BE">
      <w:pPr>
        <w:ind w:firstLine="709"/>
        <w:jc w:val="center"/>
        <w:rPr>
          <w:b/>
          <w:sz w:val="28"/>
          <w:szCs w:val="28"/>
        </w:rPr>
      </w:pPr>
      <w:r w:rsidRPr="00F22D91">
        <w:rPr>
          <w:b/>
          <w:sz w:val="28"/>
          <w:szCs w:val="28"/>
        </w:rPr>
        <w:t>Анализ исполнение муниципальных программ в 2019 году.</w:t>
      </w:r>
    </w:p>
    <w:p w:rsidR="006C05BE" w:rsidRPr="00F22D91" w:rsidRDefault="006C05BE" w:rsidP="006C05BE">
      <w:pPr>
        <w:ind w:firstLine="709"/>
        <w:jc w:val="both"/>
        <w:rPr>
          <w:b/>
          <w:sz w:val="28"/>
          <w:szCs w:val="28"/>
        </w:rPr>
      </w:pPr>
    </w:p>
    <w:p w:rsidR="006C05BE" w:rsidRPr="00F22D91" w:rsidRDefault="006C05BE" w:rsidP="006C05BE">
      <w:pPr>
        <w:ind w:firstLine="709"/>
        <w:jc w:val="both"/>
        <w:rPr>
          <w:b/>
          <w:sz w:val="28"/>
          <w:szCs w:val="28"/>
        </w:rPr>
      </w:pPr>
      <w:r w:rsidRPr="00F22D91">
        <w:rPr>
          <w:sz w:val="28"/>
          <w:szCs w:val="28"/>
        </w:rPr>
        <w:t xml:space="preserve">На реализацию программной части бюджета поселения предусмотрены бюджетные ассигнования в размере 9 795,8 тыс. рублей. Доля муниципальных программ в общем объеме расходов бюджета на 2019 год – 26,0 %. </w:t>
      </w:r>
    </w:p>
    <w:p w:rsidR="006C05BE" w:rsidRPr="00F22D91" w:rsidRDefault="006C05BE" w:rsidP="006C05BE">
      <w:pPr>
        <w:ind w:right="-1" w:firstLine="567"/>
        <w:jc w:val="right"/>
      </w:pPr>
      <w:r w:rsidRPr="00F22D91">
        <w:t>Таблица № 9 (тыс. рублей)</w:t>
      </w:r>
    </w:p>
    <w:p w:rsidR="006C05BE" w:rsidRPr="00F22D91" w:rsidRDefault="006C05BE" w:rsidP="006C05BE">
      <w:pPr>
        <w:ind w:right="-1" w:firstLine="567"/>
        <w:jc w:val="right"/>
      </w:pP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992"/>
        <w:gridCol w:w="1276"/>
        <w:gridCol w:w="1276"/>
        <w:gridCol w:w="992"/>
        <w:gridCol w:w="992"/>
      </w:tblGrid>
      <w:tr w:rsidR="006C05BE" w:rsidRPr="00F22D91" w:rsidTr="006C05BE">
        <w:trPr>
          <w:trHeight w:val="765"/>
        </w:trPr>
        <w:tc>
          <w:tcPr>
            <w:tcW w:w="3227" w:type="dxa"/>
          </w:tcPr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  <w:r w:rsidRPr="00F22D91">
              <w:rPr>
                <w:b/>
              </w:rPr>
              <w:t>Наименование программ/ КЦСР</w:t>
            </w:r>
          </w:p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  <w:r w:rsidRPr="00F22D91">
              <w:rPr>
                <w:b/>
              </w:rPr>
              <w:t>Наименование мероприятий</w:t>
            </w:r>
          </w:p>
        </w:tc>
        <w:tc>
          <w:tcPr>
            <w:tcW w:w="992" w:type="dxa"/>
          </w:tcPr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  <w:r w:rsidRPr="00F22D91">
              <w:rPr>
                <w:b/>
              </w:rPr>
              <w:t xml:space="preserve">Утверждено в первоначальном </w:t>
            </w:r>
            <w:r w:rsidRPr="00F22D91">
              <w:rPr>
                <w:b/>
              </w:rPr>
              <w:lastRenderedPageBreak/>
              <w:t>бюджете</w:t>
            </w:r>
          </w:p>
        </w:tc>
        <w:tc>
          <w:tcPr>
            <w:tcW w:w="1276" w:type="dxa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lastRenderedPageBreak/>
              <w:t>Утвержденные</w:t>
            </w:r>
          </w:p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бюджетные</w:t>
            </w:r>
          </w:p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назначения</w:t>
            </w:r>
          </w:p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  <w:r w:rsidRPr="00F22D91">
              <w:rPr>
                <w:b/>
              </w:rPr>
              <w:t>на 2019 год</w:t>
            </w:r>
          </w:p>
        </w:tc>
        <w:tc>
          <w:tcPr>
            <w:tcW w:w="1276" w:type="dxa"/>
          </w:tcPr>
          <w:p w:rsidR="006C05BE" w:rsidRPr="00F22D91" w:rsidRDefault="006C05BE" w:rsidP="006C05BE">
            <w:pPr>
              <w:tabs>
                <w:tab w:val="left" w:pos="677"/>
              </w:tabs>
              <w:jc w:val="both"/>
              <w:rPr>
                <w:b/>
              </w:rPr>
            </w:pPr>
            <w:r w:rsidRPr="00F22D91">
              <w:rPr>
                <w:b/>
              </w:rPr>
              <w:t>Результат</w:t>
            </w:r>
          </w:p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(+/-) (первон.</w:t>
            </w:r>
          </w:p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уточнен)</w:t>
            </w:r>
          </w:p>
        </w:tc>
        <w:tc>
          <w:tcPr>
            <w:tcW w:w="992" w:type="dxa"/>
          </w:tcPr>
          <w:p w:rsidR="006C05BE" w:rsidRPr="00F22D91" w:rsidRDefault="006C05BE" w:rsidP="006C05BE">
            <w:pPr>
              <w:jc w:val="both"/>
              <w:rPr>
                <w:b/>
              </w:rPr>
            </w:pPr>
            <w:r w:rsidRPr="00F22D91">
              <w:rPr>
                <w:b/>
              </w:rPr>
              <w:t>Исполнение</w:t>
            </w:r>
          </w:p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  <w:r w:rsidRPr="00F22D91">
              <w:rPr>
                <w:b/>
              </w:rPr>
              <w:t>за 2019 год</w:t>
            </w:r>
          </w:p>
        </w:tc>
        <w:tc>
          <w:tcPr>
            <w:tcW w:w="992" w:type="dxa"/>
          </w:tcPr>
          <w:p w:rsidR="006C05BE" w:rsidRPr="00F22D91" w:rsidRDefault="006C05BE" w:rsidP="006C05BE">
            <w:pPr>
              <w:jc w:val="both"/>
              <w:rPr>
                <w:b/>
                <w:bCs/>
              </w:rPr>
            </w:pPr>
            <w:r w:rsidRPr="00F22D91">
              <w:rPr>
                <w:b/>
                <w:bCs/>
              </w:rPr>
              <w:t>Удельный вес в программных расхода</w:t>
            </w:r>
            <w:r w:rsidRPr="00F22D91">
              <w:rPr>
                <w:b/>
                <w:bCs/>
              </w:rPr>
              <w:lastRenderedPageBreak/>
              <w:t xml:space="preserve">х </w:t>
            </w:r>
          </w:p>
          <w:p w:rsidR="006C05BE" w:rsidRPr="00F22D91" w:rsidRDefault="006C05BE" w:rsidP="006C05BE">
            <w:pPr>
              <w:ind w:right="-1"/>
              <w:jc w:val="both"/>
              <w:rPr>
                <w:b/>
              </w:rPr>
            </w:pPr>
            <w:r w:rsidRPr="00F22D91">
              <w:rPr>
                <w:b/>
                <w:bCs/>
              </w:rPr>
              <w:t>%</w:t>
            </w:r>
          </w:p>
        </w:tc>
      </w:tr>
      <w:tr w:rsidR="006C05BE" w:rsidRPr="00F22D91" w:rsidTr="006C05BE">
        <w:tc>
          <w:tcPr>
            <w:tcW w:w="3227" w:type="dxa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lastRenderedPageBreak/>
              <w:t xml:space="preserve">Муниципальная программа «Комплексное развитие коммунальной инфраструктуры Нийского МО на 2017-2021г.г. </w:t>
            </w:r>
          </w:p>
          <w:p w:rsidR="006C05BE" w:rsidRPr="00F22D91" w:rsidRDefault="006C05BE" w:rsidP="006C05BE">
            <w:pPr>
              <w:ind w:right="-1"/>
              <w:jc w:val="both"/>
            </w:pPr>
            <w:r w:rsidRPr="00F22D91">
              <w:t>КЦСР – 7966200000</w:t>
            </w:r>
          </w:p>
        </w:tc>
        <w:tc>
          <w:tcPr>
            <w:tcW w:w="1701" w:type="dxa"/>
            <w:vMerge w:val="restart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 xml:space="preserve">Приобретение оборудования для котельной п. Ния 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5,0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477.4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+477,4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477,4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4,8</w:t>
            </w:r>
          </w:p>
        </w:tc>
      </w:tr>
      <w:tr w:rsidR="006C05BE" w:rsidRPr="00F22D91" w:rsidTr="006C05BE">
        <w:tc>
          <w:tcPr>
            <w:tcW w:w="3227" w:type="dxa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 xml:space="preserve">Софинансирование расходных обязательств на мероприятия по модернизации объектов теплоснабжения и подготовке к отопительному сезону объектов коммунальной </w:t>
            </w:r>
            <w:r w:rsidR="00376387" w:rsidRPr="00F22D91">
              <w:t>инфраструктуры</w:t>
            </w:r>
            <w:r w:rsidRPr="00F22D91">
              <w:t xml:space="preserve">, находящихся в собственности Нийского МО  </w:t>
            </w:r>
          </w:p>
          <w:p w:rsidR="006C05BE" w:rsidRPr="00F22D91" w:rsidRDefault="006C05BE" w:rsidP="006C05BE">
            <w:pPr>
              <w:ind w:right="-1"/>
              <w:jc w:val="both"/>
              <w:rPr>
                <w:lang w:val="en-US"/>
              </w:rPr>
            </w:pPr>
            <w:r w:rsidRPr="00F22D91">
              <w:t>КЦСР 79662</w:t>
            </w:r>
            <w:r w:rsidRPr="00F22D91">
              <w:rPr>
                <w:lang w:val="en-US"/>
              </w:rPr>
              <w:t>S21000</w:t>
            </w:r>
          </w:p>
        </w:tc>
        <w:tc>
          <w:tcPr>
            <w:tcW w:w="1701" w:type="dxa"/>
            <w:vMerge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-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8 398,5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+8 398,5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8 332,0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85,7</w:t>
            </w:r>
          </w:p>
        </w:tc>
      </w:tr>
      <w:tr w:rsidR="006C05BE" w:rsidRPr="00F22D91" w:rsidTr="006C05BE">
        <w:tc>
          <w:tcPr>
            <w:tcW w:w="3227" w:type="dxa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Муниципальная программа «Обеспечение развития и укрепления материально-технической базы МКУК «КДЦ» Нийского МО на 2017-2019 годы</w:t>
            </w:r>
          </w:p>
          <w:p w:rsidR="006C05BE" w:rsidRPr="00F22D91" w:rsidRDefault="006C05BE" w:rsidP="006C05BE">
            <w:pPr>
              <w:ind w:right="-1"/>
              <w:jc w:val="both"/>
            </w:pPr>
            <w:r w:rsidRPr="00F22D91">
              <w:t>КЦСР - 7966300000</w:t>
            </w:r>
          </w:p>
        </w:tc>
        <w:tc>
          <w:tcPr>
            <w:tcW w:w="1701" w:type="dxa"/>
            <w:vMerge w:val="restart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Приобретение кресел и одежды для сцены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0,0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28,0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+28,0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28,0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0,3</w:t>
            </w:r>
          </w:p>
        </w:tc>
      </w:tr>
      <w:tr w:rsidR="006C05BE" w:rsidRPr="00F22D91" w:rsidTr="006C05BE">
        <w:tc>
          <w:tcPr>
            <w:tcW w:w="3227" w:type="dxa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Софинансирование расходных обязательств муниципальных образований Иркутской области на развитие домов культуры</w:t>
            </w:r>
          </w:p>
          <w:p w:rsidR="006C05BE" w:rsidRPr="00F22D91" w:rsidRDefault="006C05BE" w:rsidP="006C05BE">
            <w:pPr>
              <w:ind w:right="-1"/>
              <w:jc w:val="both"/>
            </w:pPr>
            <w:r w:rsidRPr="00F22D91">
              <w:t>КЦСР – 79663</w:t>
            </w:r>
            <w:r w:rsidRPr="00F22D91">
              <w:rPr>
                <w:lang w:val="en-US"/>
              </w:rPr>
              <w:t>S</w:t>
            </w:r>
            <w:r w:rsidRPr="00F22D91">
              <w:t>0000</w:t>
            </w:r>
          </w:p>
        </w:tc>
        <w:tc>
          <w:tcPr>
            <w:tcW w:w="1701" w:type="dxa"/>
            <w:vMerge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0,0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891,9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+891,9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891,9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9,2</w:t>
            </w:r>
          </w:p>
        </w:tc>
      </w:tr>
      <w:tr w:rsidR="006C05BE" w:rsidRPr="00F22D91" w:rsidTr="006C05BE">
        <w:trPr>
          <w:trHeight w:val="378"/>
        </w:trPr>
        <w:tc>
          <w:tcPr>
            <w:tcW w:w="3227" w:type="dxa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Итого по программам</w:t>
            </w:r>
          </w:p>
        </w:tc>
        <w:tc>
          <w:tcPr>
            <w:tcW w:w="1701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5,0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9 795,8</w:t>
            </w:r>
          </w:p>
        </w:tc>
        <w:tc>
          <w:tcPr>
            <w:tcW w:w="1276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+9 790,8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9 729,3</w:t>
            </w:r>
          </w:p>
        </w:tc>
        <w:tc>
          <w:tcPr>
            <w:tcW w:w="992" w:type="dxa"/>
            <w:vAlign w:val="center"/>
          </w:tcPr>
          <w:p w:rsidR="006C05BE" w:rsidRPr="00F22D91" w:rsidRDefault="006C05BE" w:rsidP="006C05BE">
            <w:pPr>
              <w:ind w:right="-1"/>
              <w:jc w:val="both"/>
            </w:pPr>
            <w:r w:rsidRPr="00F22D91">
              <w:t>100</w:t>
            </w:r>
          </w:p>
        </w:tc>
      </w:tr>
    </w:tbl>
    <w:p w:rsidR="006C05BE" w:rsidRPr="00F22D91" w:rsidRDefault="006C05BE" w:rsidP="006C05BE">
      <w:pPr>
        <w:ind w:right="-1" w:firstLine="567"/>
        <w:jc w:val="both"/>
      </w:pP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  <w:lang w:eastAsia="zh-CN"/>
        </w:rPr>
        <w:t>Как видно из таблицы, исполнение мероприятий в рамках муниципальных программ выполнено в сумме 9 729,3 тыс. рублей или на 99,3 %.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Наибольший удельный вес в общем объеме программных расходов бюджета занимают расходы на реализацию муниципальной программы «Комплексное развитие коммунальной инфраструктуры Нийского МО на 2018-2032г.г. – 85,7 %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rFonts w:hint="eastAsia"/>
          <w:sz w:val="28"/>
          <w:szCs w:val="28"/>
        </w:rPr>
        <w:t>По</w:t>
      </w:r>
      <w:r w:rsidRPr="00F22D91">
        <w:rPr>
          <w:sz w:val="28"/>
          <w:szCs w:val="28"/>
        </w:rPr>
        <w:t xml:space="preserve"> остальным муниципальным программам </w:t>
      </w:r>
      <w:r w:rsidRPr="00F22D91">
        <w:rPr>
          <w:rFonts w:hint="eastAsia"/>
          <w:sz w:val="28"/>
          <w:szCs w:val="28"/>
        </w:rPr>
        <w:t>доли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расходов</w:t>
      </w:r>
      <w:r w:rsidRPr="00F22D91">
        <w:rPr>
          <w:sz w:val="28"/>
          <w:szCs w:val="28"/>
        </w:rPr>
        <w:t xml:space="preserve"> в отчетном </w:t>
      </w:r>
      <w:r w:rsidRPr="00F22D91">
        <w:rPr>
          <w:rFonts w:hint="eastAsia"/>
          <w:sz w:val="28"/>
          <w:szCs w:val="28"/>
        </w:rPr>
        <w:t>период</w:t>
      </w:r>
      <w:r w:rsidRPr="00F22D91">
        <w:rPr>
          <w:sz w:val="28"/>
          <w:szCs w:val="28"/>
        </w:rPr>
        <w:t xml:space="preserve">е </w:t>
      </w:r>
      <w:r w:rsidRPr="00F22D91">
        <w:rPr>
          <w:rFonts w:hint="eastAsia"/>
          <w:sz w:val="28"/>
          <w:szCs w:val="28"/>
        </w:rPr>
        <w:t>составили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от</w:t>
      </w:r>
      <w:r w:rsidRPr="00F22D91">
        <w:rPr>
          <w:sz w:val="28"/>
          <w:szCs w:val="28"/>
        </w:rPr>
        <w:t xml:space="preserve"> 0,3 % </w:t>
      </w:r>
      <w:r w:rsidRPr="00F22D91">
        <w:rPr>
          <w:rFonts w:hint="eastAsia"/>
          <w:sz w:val="28"/>
          <w:szCs w:val="28"/>
        </w:rPr>
        <w:t>до</w:t>
      </w:r>
      <w:r w:rsidRPr="00F22D91">
        <w:rPr>
          <w:sz w:val="28"/>
          <w:szCs w:val="28"/>
        </w:rPr>
        <w:t xml:space="preserve"> 9,2 % </w:t>
      </w:r>
      <w:r w:rsidRPr="00F22D91">
        <w:rPr>
          <w:rFonts w:hint="eastAsia"/>
          <w:sz w:val="28"/>
          <w:szCs w:val="28"/>
        </w:rPr>
        <w:t>от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общего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объема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программных</w:t>
      </w:r>
      <w:r w:rsidRPr="00F22D91">
        <w:rPr>
          <w:sz w:val="28"/>
          <w:szCs w:val="28"/>
        </w:rPr>
        <w:t xml:space="preserve"> </w:t>
      </w:r>
      <w:r w:rsidRPr="00F22D91">
        <w:rPr>
          <w:rFonts w:hint="eastAsia"/>
          <w:sz w:val="28"/>
          <w:szCs w:val="28"/>
        </w:rPr>
        <w:t>расходов</w:t>
      </w:r>
      <w:r w:rsidRPr="00F22D91">
        <w:rPr>
          <w:sz w:val="28"/>
          <w:szCs w:val="28"/>
        </w:rPr>
        <w:t>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22D91">
        <w:rPr>
          <w:b/>
          <w:bCs/>
          <w:sz w:val="28"/>
          <w:szCs w:val="28"/>
        </w:rPr>
        <w:t>Дефицит местного бюджета</w:t>
      </w:r>
      <w:r w:rsidR="002A162C">
        <w:rPr>
          <w:b/>
          <w:bCs/>
          <w:sz w:val="28"/>
          <w:szCs w:val="28"/>
        </w:rPr>
        <w:t xml:space="preserve"> и </w:t>
      </w:r>
      <w:r w:rsidRPr="00F22D91">
        <w:rPr>
          <w:b/>
          <w:bCs/>
          <w:sz w:val="28"/>
          <w:szCs w:val="28"/>
        </w:rPr>
        <w:t xml:space="preserve">источники его </w:t>
      </w:r>
      <w:r w:rsidR="002A162C">
        <w:rPr>
          <w:b/>
          <w:bCs/>
          <w:sz w:val="28"/>
          <w:szCs w:val="28"/>
        </w:rPr>
        <w:t>финансирования</w:t>
      </w:r>
    </w:p>
    <w:p w:rsidR="006C05BE" w:rsidRDefault="006C05BE" w:rsidP="002A162C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 w:rsidRPr="00F22D91">
        <w:rPr>
          <w:b/>
          <w:bCs/>
          <w:sz w:val="28"/>
          <w:szCs w:val="28"/>
        </w:rPr>
        <w:t>Муниципальный долг</w:t>
      </w:r>
    </w:p>
    <w:p w:rsidR="002A162C" w:rsidRPr="00F22D91" w:rsidRDefault="002A162C" w:rsidP="002A162C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Первоначально Решением Думы Нийского сельского поселения от 27.12.2018 № 359 утвержден дефицит местного бюджета в сумме 161,4 тыс. рублей или 5% от утвержденного общего годового объема доходов местного бюджета без учета утвержденного объема безвозмездных поступлений.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161,4 тыс. рублей, в том числе за счет изменения остатков средств на счетах по учету средств бюджета в течение финансового года – 161,4 тыс. рублей. 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 xml:space="preserve">В окончательной редакции Решением Думы Нийского сельского поселения от 27.12.2019 № 382 О внесении изменений и дополнений в решение Думы Нийского сельского поселения от 27.12.2018 года № 359 «О бюджете Нийского </w:t>
      </w:r>
      <w:r w:rsidRPr="00F22D91">
        <w:rPr>
          <w:sz w:val="28"/>
          <w:szCs w:val="28"/>
        </w:rPr>
        <w:lastRenderedPageBreak/>
        <w:t xml:space="preserve">муниципального образования на 2019 год и плановый период 2020 и 2021 годов» утвержден дефицит в сумме 391,0 тыс. рублей или 10,0 % от утвержденного общего годового объема доходов местного бюджета, без учета безвозмездных поступлений. Превышение ограничений дефицита местного бюджета, установленных бюджетным законодательством, осуществлено в пределах снижения остатков средств на счете по учету средств местного бюджета. 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Предельный объем расходов на обслуживание муниципального долга Нийского муниципального образования на 2019 год установлен в размере 0,0 тыс. рублей.</w:t>
      </w:r>
    </w:p>
    <w:p w:rsidR="006C05BE" w:rsidRPr="00F22D91" w:rsidRDefault="006C05BE" w:rsidP="006C05B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Фактические расходы на обслуживание муниципального долга – 0,00 рублей.</w:t>
      </w:r>
    </w:p>
    <w:p w:rsidR="006C05BE" w:rsidRPr="00F22D91" w:rsidRDefault="006C05BE" w:rsidP="006C05BE">
      <w:pPr>
        <w:shd w:val="clear" w:color="auto" w:fill="FFFFFF"/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Муниципальных гарантий в 2019 году Администрация Нийского муниципального образования не предоставляла.</w:t>
      </w:r>
    </w:p>
    <w:p w:rsidR="006C05BE" w:rsidRPr="00F22D91" w:rsidRDefault="006C05BE" w:rsidP="006C05BE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F22D91">
        <w:rPr>
          <w:sz w:val="28"/>
          <w:szCs w:val="28"/>
        </w:rPr>
        <w:t>Фактически бюджет за 2019 год исполнен с профицитом в сумме 779,1 тыс. рублей.</w:t>
      </w:r>
    </w:p>
    <w:p w:rsidR="006C05BE" w:rsidRPr="00F22D91" w:rsidRDefault="006C05BE" w:rsidP="006C05BE">
      <w:pPr>
        <w:ind w:firstLine="709"/>
        <w:jc w:val="both"/>
        <w:rPr>
          <w:sz w:val="28"/>
          <w:szCs w:val="28"/>
          <w:lang w:eastAsia="zh-CN"/>
        </w:rPr>
      </w:pPr>
      <w:r w:rsidRPr="00F22D91">
        <w:rPr>
          <w:sz w:val="28"/>
          <w:szCs w:val="28"/>
          <w:lang w:eastAsia="zh-CN"/>
        </w:rPr>
        <w:t>По результатам проведенной внешней проверки годовая бюджетная отчетность Администрации Нийского муниципального образования за 2019 год по основным параметрам исполнения местного бюджета признана достоверной, при этом указанные замечания</w:t>
      </w:r>
      <w:r w:rsidR="00B94940">
        <w:rPr>
          <w:sz w:val="28"/>
          <w:szCs w:val="28"/>
          <w:lang w:eastAsia="zh-CN"/>
        </w:rPr>
        <w:t xml:space="preserve"> необходимо </w:t>
      </w:r>
      <w:r w:rsidRPr="00F22D91">
        <w:rPr>
          <w:sz w:val="28"/>
          <w:szCs w:val="28"/>
          <w:lang w:eastAsia="zh-CN"/>
        </w:rPr>
        <w:t>учесть при составлении бюджетной отчетности за текущий финансовый год.</w:t>
      </w:r>
    </w:p>
    <w:p w:rsidR="00A90197" w:rsidRPr="00F22D91" w:rsidRDefault="00D85897" w:rsidP="00B44B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884CC2" w:rsidRPr="00F22D91">
        <w:rPr>
          <w:bCs/>
          <w:sz w:val="28"/>
          <w:szCs w:val="28"/>
        </w:rPr>
        <w:t xml:space="preserve"> также в</w:t>
      </w:r>
      <w:r w:rsidR="00A90197" w:rsidRPr="00F22D91">
        <w:rPr>
          <w:bCs/>
          <w:sz w:val="28"/>
          <w:szCs w:val="28"/>
        </w:rPr>
        <w:t xml:space="preserve"> целом, Контрольно-счетная </w:t>
      </w:r>
      <w:r w:rsidR="00D8625C" w:rsidRPr="00F22D91">
        <w:rPr>
          <w:bCs/>
          <w:sz w:val="28"/>
          <w:szCs w:val="28"/>
        </w:rPr>
        <w:t>комиссия Усть</w:t>
      </w:r>
      <w:r w:rsidR="001237B2" w:rsidRPr="00F22D91">
        <w:rPr>
          <w:bCs/>
          <w:sz w:val="28"/>
          <w:szCs w:val="28"/>
        </w:rPr>
        <w:t>-</w:t>
      </w:r>
      <w:r w:rsidR="00D8625C" w:rsidRPr="00F22D91">
        <w:rPr>
          <w:bCs/>
          <w:sz w:val="28"/>
          <w:szCs w:val="28"/>
        </w:rPr>
        <w:t>Кутского муниципального образования</w:t>
      </w:r>
      <w:r w:rsidR="00A90197" w:rsidRPr="00F22D91">
        <w:rPr>
          <w:bCs/>
          <w:sz w:val="28"/>
          <w:szCs w:val="28"/>
        </w:rPr>
        <w:t xml:space="preserve"> полагает, что </w:t>
      </w:r>
      <w:r w:rsidR="00D8625C" w:rsidRPr="00F22D91">
        <w:rPr>
          <w:bCs/>
          <w:sz w:val="28"/>
          <w:szCs w:val="28"/>
        </w:rPr>
        <w:t>годовой отчет об исполнении ме</w:t>
      </w:r>
      <w:r w:rsidR="00A90197" w:rsidRPr="00F22D91">
        <w:rPr>
          <w:bCs/>
          <w:sz w:val="28"/>
          <w:szCs w:val="28"/>
        </w:rPr>
        <w:t xml:space="preserve">стного бюджета </w:t>
      </w:r>
      <w:r w:rsidR="001E69F2" w:rsidRPr="00F22D91">
        <w:rPr>
          <w:sz w:val="28"/>
          <w:szCs w:val="28"/>
        </w:rPr>
        <w:t xml:space="preserve">Нийского </w:t>
      </w:r>
      <w:r w:rsidR="00304822" w:rsidRPr="00F22D91">
        <w:rPr>
          <w:sz w:val="28"/>
          <w:szCs w:val="28"/>
        </w:rPr>
        <w:t xml:space="preserve">муниципального образования </w:t>
      </w:r>
      <w:r w:rsidR="00A90197" w:rsidRPr="00F22D91">
        <w:rPr>
          <w:bCs/>
          <w:sz w:val="28"/>
          <w:szCs w:val="28"/>
        </w:rPr>
        <w:t xml:space="preserve">за </w:t>
      </w:r>
      <w:r w:rsidR="00E962DC" w:rsidRPr="00F22D91">
        <w:rPr>
          <w:bCs/>
          <w:sz w:val="28"/>
          <w:szCs w:val="28"/>
        </w:rPr>
        <w:t>201</w:t>
      </w:r>
      <w:r w:rsidR="001237B2" w:rsidRPr="00F22D91">
        <w:rPr>
          <w:bCs/>
          <w:sz w:val="28"/>
          <w:szCs w:val="28"/>
        </w:rPr>
        <w:t>9</w:t>
      </w:r>
      <w:r w:rsidR="00E962DC" w:rsidRPr="00F22D91">
        <w:rPr>
          <w:bCs/>
          <w:sz w:val="28"/>
          <w:szCs w:val="28"/>
        </w:rPr>
        <w:t xml:space="preserve"> го</w:t>
      </w:r>
      <w:r w:rsidR="00A90197" w:rsidRPr="00F22D91">
        <w:rPr>
          <w:bCs/>
          <w:sz w:val="28"/>
          <w:szCs w:val="28"/>
        </w:rPr>
        <w:t xml:space="preserve">д может быть рекомендован к рассмотрению на публичных слушаниях, а также </w:t>
      </w:r>
      <w:r w:rsidR="00D8625C" w:rsidRPr="00F22D91">
        <w:rPr>
          <w:bCs/>
          <w:sz w:val="28"/>
          <w:szCs w:val="28"/>
        </w:rPr>
        <w:t xml:space="preserve">к принятию Решением Думы </w:t>
      </w:r>
      <w:r w:rsidR="00E020AA" w:rsidRPr="00F22D91">
        <w:rPr>
          <w:bCs/>
          <w:sz w:val="28"/>
          <w:szCs w:val="28"/>
        </w:rPr>
        <w:t>Нийского сельского поселения</w:t>
      </w:r>
      <w:r w:rsidR="00A90197" w:rsidRPr="00F22D91">
        <w:rPr>
          <w:bCs/>
          <w:sz w:val="28"/>
          <w:szCs w:val="28"/>
        </w:rPr>
        <w:t>.</w:t>
      </w:r>
    </w:p>
    <w:p w:rsidR="001237B2" w:rsidRPr="00F22D91" w:rsidRDefault="001237B2" w:rsidP="00B44B76">
      <w:pPr>
        <w:shd w:val="clear" w:color="auto" w:fill="FFFFFF"/>
        <w:ind w:firstLine="709"/>
        <w:rPr>
          <w:sz w:val="28"/>
          <w:szCs w:val="28"/>
        </w:rPr>
      </w:pPr>
    </w:p>
    <w:p w:rsidR="00E020AA" w:rsidRDefault="00E020AA" w:rsidP="00B44B76">
      <w:pPr>
        <w:shd w:val="clear" w:color="auto" w:fill="FFFFFF"/>
        <w:ind w:firstLine="709"/>
        <w:rPr>
          <w:sz w:val="28"/>
          <w:szCs w:val="28"/>
        </w:rPr>
      </w:pPr>
    </w:p>
    <w:p w:rsidR="005C7ABA" w:rsidRPr="00F22D91" w:rsidRDefault="005C7ABA" w:rsidP="00B44B76">
      <w:pPr>
        <w:shd w:val="clear" w:color="auto" w:fill="FFFFFF"/>
        <w:ind w:firstLine="709"/>
        <w:rPr>
          <w:sz w:val="28"/>
          <w:szCs w:val="28"/>
        </w:rPr>
      </w:pPr>
    </w:p>
    <w:p w:rsidR="00A90197" w:rsidRPr="00F22D91" w:rsidRDefault="00103457" w:rsidP="00B44B76">
      <w:pPr>
        <w:shd w:val="clear" w:color="auto" w:fill="FFFFFF"/>
        <w:ind w:firstLine="709"/>
        <w:rPr>
          <w:sz w:val="28"/>
          <w:szCs w:val="28"/>
        </w:rPr>
      </w:pPr>
      <w:r w:rsidRPr="00F22D91">
        <w:rPr>
          <w:sz w:val="28"/>
          <w:szCs w:val="28"/>
        </w:rPr>
        <w:t>Инспектор</w:t>
      </w:r>
      <w:r w:rsidR="00400B39" w:rsidRPr="00F22D91">
        <w:rPr>
          <w:sz w:val="28"/>
          <w:szCs w:val="28"/>
        </w:rPr>
        <w:t xml:space="preserve"> КСК</w:t>
      </w:r>
      <w:r w:rsidR="008E582F" w:rsidRPr="00F22D91">
        <w:rPr>
          <w:sz w:val="28"/>
          <w:szCs w:val="28"/>
        </w:rPr>
        <w:t xml:space="preserve"> УКМО</w:t>
      </w:r>
      <w:r w:rsidR="008E582F" w:rsidRPr="00F22D91">
        <w:rPr>
          <w:sz w:val="28"/>
          <w:szCs w:val="28"/>
        </w:rPr>
        <w:tab/>
      </w:r>
      <w:r w:rsidR="008E582F" w:rsidRPr="00F22D91">
        <w:rPr>
          <w:sz w:val="28"/>
          <w:szCs w:val="28"/>
        </w:rPr>
        <w:tab/>
      </w:r>
      <w:r w:rsidR="008E582F" w:rsidRPr="00F22D91">
        <w:rPr>
          <w:sz w:val="28"/>
          <w:szCs w:val="28"/>
        </w:rPr>
        <w:tab/>
      </w:r>
      <w:r w:rsidR="008E582F" w:rsidRPr="00F22D91">
        <w:rPr>
          <w:sz w:val="28"/>
          <w:szCs w:val="28"/>
        </w:rPr>
        <w:tab/>
      </w:r>
      <w:r w:rsidR="00400B39" w:rsidRPr="00F22D91">
        <w:rPr>
          <w:sz w:val="28"/>
          <w:szCs w:val="28"/>
        </w:rPr>
        <w:tab/>
      </w:r>
      <w:r w:rsidR="00400B39" w:rsidRPr="00F22D91">
        <w:rPr>
          <w:sz w:val="28"/>
          <w:szCs w:val="28"/>
        </w:rPr>
        <w:tab/>
      </w:r>
      <w:r w:rsidR="00400B39" w:rsidRPr="00F22D91">
        <w:rPr>
          <w:sz w:val="28"/>
          <w:szCs w:val="28"/>
        </w:rPr>
        <w:tab/>
        <w:t xml:space="preserve">    </w:t>
      </w:r>
      <w:r w:rsidR="00E962DC" w:rsidRPr="00F22D91">
        <w:rPr>
          <w:sz w:val="28"/>
          <w:szCs w:val="28"/>
        </w:rPr>
        <w:t>Е.В. Мокрецова</w:t>
      </w:r>
    </w:p>
    <w:sectPr w:rsidR="00A90197" w:rsidRPr="00F22D91" w:rsidSect="00BF1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23" w:rsidRDefault="00E21F23" w:rsidP="00BF19A6">
      <w:r>
        <w:separator/>
      </w:r>
    </w:p>
  </w:endnote>
  <w:endnote w:type="continuationSeparator" w:id="0">
    <w:p w:rsidR="00E21F23" w:rsidRDefault="00E21F2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B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23" w:rsidRDefault="00E21F23" w:rsidP="00BF19A6">
      <w:r>
        <w:separator/>
      </w:r>
    </w:p>
  </w:footnote>
  <w:footnote w:type="continuationSeparator" w:id="0">
    <w:p w:rsidR="00E21F23" w:rsidRDefault="00E21F2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</w:sdtPr>
    <w:sdtEndPr/>
    <w:sdtContent>
      <w:p w:rsidR="00B94940" w:rsidRDefault="00B94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3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94940" w:rsidRDefault="00B949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0" w:rsidRDefault="00B949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4D1860"/>
    <w:multiLevelType w:val="hybridMultilevel"/>
    <w:tmpl w:val="DA768B7C"/>
    <w:lvl w:ilvl="0" w:tplc="8CC4C53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1283"/>
    <w:multiLevelType w:val="multilevel"/>
    <w:tmpl w:val="9C2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0F4582"/>
    <w:multiLevelType w:val="hybridMultilevel"/>
    <w:tmpl w:val="7A30FB0C"/>
    <w:lvl w:ilvl="0" w:tplc="8E0CC4E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4"/>
  </w:num>
  <w:num w:numId="8">
    <w:abstractNumId w:val="32"/>
  </w:num>
  <w:num w:numId="9">
    <w:abstractNumId w:val="21"/>
  </w:num>
  <w:num w:numId="10">
    <w:abstractNumId w:val="2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3"/>
  </w:num>
  <w:num w:numId="16">
    <w:abstractNumId w:val="28"/>
  </w:num>
  <w:num w:numId="17">
    <w:abstractNumId w:val="11"/>
  </w:num>
  <w:num w:numId="18">
    <w:abstractNumId w:val="19"/>
  </w:num>
  <w:num w:numId="19">
    <w:abstractNumId w:val="29"/>
  </w:num>
  <w:num w:numId="20">
    <w:abstractNumId w:val="25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0"/>
  </w:num>
  <w:num w:numId="30">
    <w:abstractNumId w:val="8"/>
  </w:num>
  <w:num w:numId="31">
    <w:abstractNumId w:val="24"/>
  </w:num>
  <w:num w:numId="32">
    <w:abstractNumId w:val="15"/>
  </w:num>
  <w:num w:numId="33">
    <w:abstractNumId w:val="4"/>
  </w:num>
  <w:num w:numId="34">
    <w:abstractNumId w:val="18"/>
  </w:num>
  <w:num w:numId="35">
    <w:abstractNumId w:val="33"/>
  </w:num>
  <w:num w:numId="36">
    <w:abstractNumId w:val="17"/>
  </w:num>
  <w:num w:numId="37">
    <w:abstractNumId w:val="10"/>
  </w:num>
  <w:num w:numId="38">
    <w:abstractNumId w:val="16"/>
  </w:num>
  <w:num w:numId="39">
    <w:abstractNumId w:val="3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3260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9CE"/>
    <w:rsid w:val="00020A48"/>
    <w:rsid w:val="000222D0"/>
    <w:rsid w:val="00025570"/>
    <w:rsid w:val="00027E4C"/>
    <w:rsid w:val="000309E1"/>
    <w:rsid w:val="00030FCA"/>
    <w:rsid w:val="00031221"/>
    <w:rsid w:val="00032BB6"/>
    <w:rsid w:val="00033268"/>
    <w:rsid w:val="00035A67"/>
    <w:rsid w:val="0003659D"/>
    <w:rsid w:val="0004092A"/>
    <w:rsid w:val="000413D1"/>
    <w:rsid w:val="000425AE"/>
    <w:rsid w:val="00043505"/>
    <w:rsid w:val="000453B8"/>
    <w:rsid w:val="00045C4A"/>
    <w:rsid w:val="00045CDA"/>
    <w:rsid w:val="00046EBE"/>
    <w:rsid w:val="00051E3E"/>
    <w:rsid w:val="00052099"/>
    <w:rsid w:val="00052923"/>
    <w:rsid w:val="00054131"/>
    <w:rsid w:val="00054F30"/>
    <w:rsid w:val="00055533"/>
    <w:rsid w:val="00055D8C"/>
    <w:rsid w:val="0006108F"/>
    <w:rsid w:val="000636C2"/>
    <w:rsid w:val="00063F0C"/>
    <w:rsid w:val="00063F34"/>
    <w:rsid w:val="000652E7"/>
    <w:rsid w:val="0006797F"/>
    <w:rsid w:val="0007019B"/>
    <w:rsid w:val="00071CEA"/>
    <w:rsid w:val="00074206"/>
    <w:rsid w:val="00075EB0"/>
    <w:rsid w:val="00076F47"/>
    <w:rsid w:val="000834FB"/>
    <w:rsid w:val="000843AD"/>
    <w:rsid w:val="0009051E"/>
    <w:rsid w:val="00091191"/>
    <w:rsid w:val="0009257B"/>
    <w:rsid w:val="00093AF3"/>
    <w:rsid w:val="000941A5"/>
    <w:rsid w:val="0009657F"/>
    <w:rsid w:val="0009729E"/>
    <w:rsid w:val="000A1B08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0E6"/>
    <w:rsid w:val="000D319D"/>
    <w:rsid w:val="000D3974"/>
    <w:rsid w:val="000D6AE7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1FE6"/>
    <w:rsid w:val="000F3086"/>
    <w:rsid w:val="000F3968"/>
    <w:rsid w:val="000F4432"/>
    <w:rsid w:val="000F4CFE"/>
    <w:rsid w:val="000F4EB0"/>
    <w:rsid w:val="000F790A"/>
    <w:rsid w:val="001005EC"/>
    <w:rsid w:val="00101121"/>
    <w:rsid w:val="00101210"/>
    <w:rsid w:val="001028E1"/>
    <w:rsid w:val="00102A09"/>
    <w:rsid w:val="00102D7A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3E8"/>
    <w:rsid w:val="00117EAC"/>
    <w:rsid w:val="00123140"/>
    <w:rsid w:val="001237B2"/>
    <w:rsid w:val="0012751E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5DC7"/>
    <w:rsid w:val="00156B6D"/>
    <w:rsid w:val="0016161F"/>
    <w:rsid w:val="0016194F"/>
    <w:rsid w:val="00161ED7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7A77"/>
    <w:rsid w:val="001804FB"/>
    <w:rsid w:val="001825FD"/>
    <w:rsid w:val="001827A9"/>
    <w:rsid w:val="00183CF3"/>
    <w:rsid w:val="001847A1"/>
    <w:rsid w:val="001854D7"/>
    <w:rsid w:val="00185D31"/>
    <w:rsid w:val="001862AC"/>
    <w:rsid w:val="00191910"/>
    <w:rsid w:val="0019207F"/>
    <w:rsid w:val="00192D83"/>
    <w:rsid w:val="00193B4B"/>
    <w:rsid w:val="001954B6"/>
    <w:rsid w:val="00195A20"/>
    <w:rsid w:val="00197052"/>
    <w:rsid w:val="001A2762"/>
    <w:rsid w:val="001A2DAE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70C"/>
    <w:rsid w:val="001C1CAD"/>
    <w:rsid w:val="001C1E3A"/>
    <w:rsid w:val="001C23FE"/>
    <w:rsid w:val="001C2701"/>
    <w:rsid w:val="001C63BA"/>
    <w:rsid w:val="001C7D3E"/>
    <w:rsid w:val="001D0101"/>
    <w:rsid w:val="001D54B9"/>
    <w:rsid w:val="001D6E18"/>
    <w:rsid w:val="001D75B4"/>
    <w:rsid w:val="001E09BE"/>
    <w:rsid w:val="001E3B3F"/>
    <w:rsid w:val="001E55B5"/>
    <w:rsid w:val="001E5A21"/>
    <w:rsid w:val="001E69F2"/>
    <w:rsid w:val="001E6D19"/>
    <w:rsid w:val="001E6E69"/>
    <w:rsid w:val="001F3CA8"/>
    <w:rsid w:val="001F4B0F"/>
    <w:rsid w:val="001F6089"/>
    <w:rsid w:val="001F6F9B"/>
    <w:rsid w:val="002020A7"/>
    <w:rsid w:val="0020383F"/>
    <w:rsid w:val="00203BBE"/>
    <w:rsid w:val="0020487C"/>
    <w:rsid w:val="00204CBE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6D12"/>
    <w:rsid w:val="002272CF"/>
    <w:rsid w:val="002325B5"/>
    <w:rsid w:val="0023350F"/>
    <w:rsid w:val="00233AA0"/>
    <w:rsid w:val="002341C1"/>
    <w:rsid w:val="002350D9"/>
    <w:rsid w:val="00242239"/>
    <w:rsid w:val="00243A98"/>
    <w:rsid w:val="00245C1B"/>
    <w:rsid w:val="00245F00"/>
    <w:rsid w:val="00251D83"/>
    <w:rsid w:val="00252145"/>
    <w:rsid w:val="00252876"/>
    <w:rsid w:val="00253473"/>
    <w:rsid w:val="00255169"/>
    <w:rsid w:val="00256480"/>
    <w:rsid w:val="0025790F"/>
    <w:rsid w:val="00257A73"/>
    <w:rsid w:val="0026027D"/>
    <w:rsid w:val="00262836"/>
    <w:rsid w:val="00264831"/>
    <w:rsid w:val="002661F3"/>
    <w:rsid w:val="002664ED"/>
    <w:rsid w:val="00267DB1"/>
    <w:rsid w:val="00272DD5"/>
    <w:rsid w:val="002730D3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321A"/>
    <w:rsid w:val="00294110"/>
    <w:rsid w:val="002942F0"/>
    <w:rsid w:val="00295B61"/>
    <w:rsid w:val="00295BE0"/>
    <w:rsid w:val="002A012C"/>
    <w:rsid w:val="002A0DE7"/>
    <w:rsid w:val="002A1505"/>
    <w:rsid w:val="002A162C"/>
    <w:rsid w:val="002A46FA"/>
    <w:rsid w:val="002A54C6"/>
    <w:rsid w:val="002A568F"/>
    <w:rsid w:val="002A648A"/>
    <w:rsid w:val="002A7F8E"/>
    <w:rsid w:val="002B0763"/>
    <w:rsid w:val="002B1144"/>
    <w:rsid w:val="002B35C0"/>
    <w:rsid w:val="002B458C"/>
    <w:rsid w:val="002B4609"/>
    <w:rsid w:val="002B73E6"/>
    <w:rsid w:val="002C0217"/>
    <w:rsid w:val="002C0767"/>
    <w:rsid w:val="002C20B2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5D8"/>
    <w:rsid w:val="002D7A8B"/>
    <w:rsid w:val="002E0A21"/>
    <w:rsid w:val="002E0D28"/>
    <w:rsid w:val="002E241A"/>
    <w:rsid w:val="002E2BB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10417"/>
    <w:rsid w:val="00310E03"/>
    <w:rsid w:val="0031118E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4ABB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387"/>
    <w:rsid w:val="00376405"/>
    <w:rsid w:val="00377FAB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E0ABC"/>
    <w:rsid w:val="003E113C"/>
    <w:rsid w:val="003E5F56"/>
    <w:rsid w:val="003E5FFF"/>
    <w:rsid w:val="003E6AE9"/>
    <w:rsid w:val="003E7C21"/>
    <w:rsid w:val="003F0504"/>
    <w:rsid w:val="003F43B8"/>
    <w:rsid w:val="003F66EA"/>
    <w:rsid w:val="00400403"/>
    <w:rsid w:val="00400757"/>
    <w:rsid w:val="00400B39"/>
    <w:rsid w:val="0040707E"/>
    <w:rsid w:val="00407FA4"/>
    <w:rsid w:val="00410069"/>
    <w:rsid w:val="004108D1"/>
    <w:rsid w:val="00410C2E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764"/>
    <w:rsid w:val="00456C00"/>
    <w:rsid w:val="00460A8E"/>
    <w:rsid w:val="004611E8"/>
    <w:rsid w:val="0046198B"/>
    <w:rsid w:val="00461AB8"/>
    <w:rsid w:val="00462DEE"/>
    <w:rsid w:val="00462F2C"/>
    <w:rsid w:val="00463527"/>
    <w:rsid w:val="00463DA1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2EBF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1FF5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39A3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387F"/>
    <w:rsid w:val="00524BE5"/>
    <w:rsid w:val="00525F6F"/>
    <w:rsid w:val="00526691"/>
    <w:rsid w:val="00531140"/>
    <w:rsid w:val="005334FB"/>
    <w:rsid w:val="00534350"/>
    <w:rsid w:val="0053438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492"/>
    <w:rsid w:val="00551DBF"/>
    <w:rsid w:val="005531FB"/>
    <w:rsid w:val="0055369B"/>
    <w:rsid w:val="00553C7F"/>
    <w:rsid w:val="005555CF"/>
    <w:rsid w:val="0056054F"/>
    <w:rsid w:val="005628B2"/>
    <w:rsid w:val="00564ABB"/>
    <w:rsid w:val="00564D4A"/>
    <w:rsid w:val="005660CF"/>
    <w:rsid w:val="00571289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88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06E7"/>
    <w:rsid w:val="005B117B"/>
    <w:rsid w:val="005B3007"/>
    <w:rsid w:val="005B306A"/>
    <w:rsid w:val="005B3301"/>
    <w:rsid w:val="005B3B86"/>
    <w:rsid w:val="005B4AB4"/>
    <w:rsid w:val="005B51D2"/>
    <w:rsid w:val="005B676B"/>
    <w:rsid w:val="005B73B2"/>
    <w:rsid w:val="005C0F78"/>
    <w:rsid w:val="005C1349"/>
    <w:rsid w:val="005C1602"/>
    <w:rsid w:val="005C2344"/>
    <w:rsid w:val="005C370B"/>
    <w:rsid w:val="005C43CE"/>
    <w:rsid w:val="005C71E9"/>
    <w:rsid w:val="005C765C"/>
    <w:rsid w:val="005C7ABA"/>
    <w:rsid w:val="005D0298"/>
    <w:rsid w:val="005D0C8D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47DA"/>
    <w:rsid w:val="0060529C"/>
    <w:rsid w:val="00605D43"/>
    <w:rsid w:val="0060641B"/>
    <w:rsid w:val="00610037"/>
    <w:rsid w:val="00611F89"/>
    <w:rsid w:val="00611FA9"/>
    <w:rsid w:val="00612ACA"/>
    <w:rsid w:val="00614677"/>
    <w:rsid w:val="00614859"/>
    <w:rsid w:val="00614B54"/>
    <w:rsid w:val="00617A9A"/>
    <w:rsid w:val="00620471"/>
    <w:rsid w:val="00621B62"/>
    <w:rsid w:val="0062241F"/>
    <w:rsid w:val="00623CA1"/>
    <w:rsid w:val="00623E42"/>
    <w:rsid w:val="006250B9"/>
    <w:rsid w:val="00625606"/>
    <w:rsid w:val="0062613B"/>
    <w:rsid w:val="006271A4"/>
    <w:rsid w:val="00633375"/>
    <w:rsid w:val="0063465E"/>
    <w:rsid w:val="00634DDF"/>
    <w:rsid w:val="00636CFA"/>
    <w:rsid w:val="00640948"/>
    <w:rsid w:val="00641F73"/>
    <w:rsid w:val="0064237A"/>
    <w:rsid w:val="006433F6"/>
    <w:rsid w:val="00643405"/>
    <w:rsid w:val="00644EB8"/>
    <w:rsid w:val="00645B41"/>
    <w:rsid w:val="00646C59"/>
    <w:rsid w:val="00652A2A"/>
    <w:rsid w:val="006572E8"/>
    <w:rsid w:val="006615F8"/>
    <w:rsid w:val="006624F0"/>
    <w:rsid w:val="00666C84"/>
    <w:rsid w:val="00667B80"/>
    <w:rsid w:val="0067056B"/>
    <w:rsid w:val="00670761"/>
    <w:rsid w:val="00670993"/>
    <w:rsid w:val="006710D2"/>
    <w:rsid w:val="006737FF"/>
    <w:rsid w:val="0067388B"/>
    <w:rsid w:val="006757A1"/>
    <w:rsid w:val="00676DAD"/>
    <w:rsid w:val="00676E8B"/>
    <w:rsid w:val="00677024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9761A"/>
    <w:rsid w:val="006A095F"/>
    <w:rsid w:val="006A2815"/>
    <w:rsid w:val="006A5758"/>
    <w:rsid w:val="006A6730"/>
    <w:rsid w:val="006A7885"/>
    <w:rsid w:val="006B05DE"/>
    <w:rsid w:val="006B1AAC"/>
    <w:rsid w:val="006B4EF6"/>
    <w:rsid w:val="006B7889"/>
    <w:rsid w:val="006C05BE"/>
    <w:rsid w:val="006C3267"/>
    <w:rsid w:val="006C3853"/>
    <w:rsid w:val="006C4894"/>
    <w:rsid w:val="006C6108"/>
    <w:rsid w:val="006C6FF4"/>
    <w:rsid w:val="006C7147"/>
    <w:rsid w:val="006D0E61"/>
    <w:rsid w:val="006D16A7"/>
    <w:rsid w:val="006D2287"/>
    <w:rsid w:val="006D3265"/>
    <w:rsid w:val="006D3957"/>
    <w:rsid w:val="006D4722"/>
    <w:rsid w:val="006E1621"/>
    <w:rsid w:val="006E6D5E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A4A"/>
    <w:rsid w:val="00734C8D"/>
    <w:rsid w:val="00736E01"/>
    <w:rsid w:val="00740A30"/>
    <w:rsid w:val="0074197C"/>
    <w:rsid w:val="00742535"/>
    <w:rsid w:val="007431DC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0C29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6920"/>
    <w:rsid w:val="00797265"/>
    <w:rsid w:val="00797FD0"/>
    <w:rsid w:val="007A194C"/>
    <w:rsid w:val="007A3513"/>
    <w:rsid w:val="007A438A"/>
    <w:rsid w:val="007A6235"/>
    <w:rsid w:val="007A6D7D"/>
    <w:rsid w:val="007A71A9"/>
    <w:rsid w:val="007B0293"/>
    <w:rsid w:val="007B046A"/>
    <w:rsid w:val="007B278B"/>
    <w:rsid w:val="007B38FE"/>
    <w:rsid w:val="007B5C17"/>
    <w:rsid w:val="007B6B79"/>
    <w:rsid w:val="007B71F5"/>
    <w:rsid w:val="007B7BA5"/>
    <w:rsid w:val="007B7E8D"/>
    <w:rsid w:val="007C394D"/>
    <w:rsid w:val="007C3B72"/>
    <w:rsid w:val="007C4504"/>
    <w:rsid w:val="007C59A9"/>
    <w:rsid w:val="007C59E5"/>
    <w:rsid w:val="007C7364"/>
    <w:rsid w:val="007C7652"/>
    <w:rsid w:val="007D0BDC"/>
    <w:rsid w:val="007D5B0D"/>
    <w:rsid w:val="007D61D8"/>
    <w:rsid w:val="007D63EC"/>
    <w:rsid w:val="007D72A5"/>
    <w:rsid w:val="007E1D0C"/>
    <w:rsid w:val="007E4978"/>
    <w:rsid w:val="007E5FDF"/>
    <w:rsid w:val="007F166D"/>
    <w:rsid w:val="007F404C"/>
    <w:rsid w:val="007F54B7"/>
    <w:rsid w:val="007F66ED"/>
    <w:rsid w:val="007F7E5A"/>
    <w:rsid w:val="00800195"/>
    <w:rsid w:val="0080024B"/>
    <w:rsid w:val="0080056A"/>
    <w:rsid w:val="00802465"/>
    <w:rsid w:val="008032BF"/>
    <w:rsid w:val="00803A58"/>
    <w:rsid w:val="008042CD"/>
    <w:rsid w:val="008047E4"/>
    <w:rsid w:val="0080498D"/>
    <w:rsid w:val="00805339"/>
    <w:rsid w:val="00805AC0"/>
    <w:rsid w:val="0080634D"/>
    <w:rsid w:val="008141EE"/>
    <w:rsid w:val="00814A03"/>
    <w:rsid w:val="00816999"/>
    <w:rsid w:val="00816A6E"/>
    <w:rsid w:val="008214B4"/>
    <w:rsid w:val="008220BA"/>
    <w:rsid w:val="0082476B"/>
    <w:rsid w:val="00824BC1"/>
    <w:rsid w:val="0082509E"/>
    <w:rsid w:val="0082650B"/>
    <w:rsid w:val="008277DF"/>
    <w:rsid w:val="00827AAE"/>
    <w:rsid w:val="008323D2"/>
    <w:rsid w:val="008339EE"/>
    <w:rsid w:val="008348E0"/>
    <w:rsid w:val="00835262"/>
    <w:rsid w:val="00836238"/>
    <w:rsid w:val="00837FD2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4CC2"/>
    <w:rsid w:val="00885DA1"/>
    <w:rsid w:val="008907CE"/>
    <w:rsid w:val="00890876"/>
    <w:rsid w:val="008911F0"/>
    <w:rsid w:val="00891AF2"/>
    <w:rsid w:val="00892F78"/>
    <w:rsid w:val="0089558F"/>
    <w:rsid w:val="00895E17"/>
    <w:rsid w:val="008A067F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A9C"/>
    <w:rsid w:val="008C5F1D"/>
    <w:rsid w:val="008C776E"/>
    <w:rsid w:val="008D1A1D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3F02"/>
    <w:rsid w:val="008F5352"/>
    <w:rsid w:val="008F53C9"/>
    <w:rsid w:val="008F6B55"/>
    <w:rsid w:val="008F7C16"/>
    <w:rsid w:val="008F7FAB"/>
    <w:rsid w:val="00901376"/>
    <w:rsid w:val="00902049"/>
    <w:rsid w:val="0090238B"/>
    <w:rsid w:val="00903EED"/>
    <w:rsid w:val="00906536"/>
    <w:rsid w:val="00906661"/>
    <w:rsid w:val="009104D8"/>
    <w:rsid w:val="00911F18"/>
    <w:rsid w:val="009127DA"/>
    <w:rsid w:val="00915F39"/>
    <w:rsid w:val="0092048A"/>
    <w:rsid w:val="009219B7"/>
    <w:rsid w:val="00925B4F"/>
    <w:rsid w:val="00926B2B"/>
    <w:rsid w:val="009337EF"/>
    <w:rsid w:val="00936265"/>
    <w:rsid w:val="00936F2E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43D5"/>
    <w:rsid w:val="00957B18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0DBC"/>
    <w:rsid w:val="00981C7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94EE4"/>
    <w:rsid w:val="009A1681"/>
    <w:rsid w:val="009A29E4"/>
    <w:rsid w:val="009A3939"/>
    <w:rsid w:val="009A4652"/>
    <w:rsid w:val="009A5C9B"/>
    <w:rsid w:val="009A619B"/>
    <w:rsid w:val="009B37F6"/>
    <w:rsid w:val="009B5DE2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78C"/>
    <w:rsid w:val="00A13C81"/>
    <w:rsid w:val="00A13E95"/>
    <w:rsid w:val="00A1436F"/>
    <w:rsid w:val="00A20158"/>
    <w:rsid w:val="00A20AF1"/>
    <w:rsid w:val="00A229FC"/>
    <w:rsid w:val="00A241BF"/>
    <w:rsid w:val="00A2523E"/>
    <w:rsid w:val="00A254B8"/>
    <w:rsid w:val="00A272A6"/>
    <w:rsid w:val="00A27927"/>
    <w:rsid w:val="00A279B4"/>
    <w:rsid w:val="00A30000"/>
    <w:rsid w:val="00A3017B"/>
    <w:rsid w:val="00A31EC6"/>
    <w:rsid w:val="00A348E4"/>
    <w:rsid w:val="00A364AB"/>
    <w:rsid w:val="00A374C0"/>
    <w:rsid w:val="00A4168F"/>
    <w:rsid w:val="00A44812"/>
    <w:rsid w:val="00A4561C"/>
    <w:rsid w:val="00A523C3"/>
    <w:rsid w:val="00A52CC7"/>
    <w:rsid w:val="00A5457B"/>
    <w:rsid w:val="00A61CB7"/>
    <w:rsid w:val="00A61D08"/>
    <w:rsid w:val="00A642D7"/>
    <w:rsid w:val="00A65917"/>
    <w:rsid w:val="00A65F3A"/>
    <w:rsid w:val="00A676AF"/>
    <w:rsid w:val="00A67A06"/>
    <w:rsid w:val="00A73AFA"/>
    <w:rsid w:val="00A73FCA"/>
    <w:rsid w:val="00A76EBC"/>
    <w:rsid w:val="00A805E4"/>
    <w:rsid w:val="00A80FB9"/>
    <w:rsid w:val="00A81E3E"/>
    <w:rsid w:val="00A82126"/>
    <w:rsid w:val="00A83492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64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204"/>
    <w:rsid w:val="00AC6B80"/>
    <w:rsid w:val="00AD15C5"/>
    <w:rsid w:val="00AD17F4"/>
    <w:rsid w:val="00AD22D1"/>
    <w:rsid w:val="00AD7438"/>
    <w:rsid w:val="00AE314C"/>
    <w:rsid w:val="00AF0473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057"/>
    <w:rsid w:val="00B20BC6"/>
    <w:rsid w:val="00B23AA8"/>
    <w:rsid w:val="00B23AF2"/>
    <w:rsid w:val="00B24FB3"/>
    <w:rsid w:val="00B2583E"/>
    <w:rsid w:val="00B263E4"/>
    <w:rsid w:val="00B26948"/>
    <w:rsid w:val="00B26FD6"/>
    <w:rsid w:val="00B30D58"/>
    <w:rsid w:val="00B3128E"/>
    <w:rsid w:val="00B3186D"/>
    <w:rsid w:val="00B31FDC"/>
    <w:rsid w:val="00B32D54"/>
    <w:rsid w:val="00B3393E"/>
    <w:rsid w:val="00B344E0"/>
    <w:rsid w:val="00B41C98"/>
    <w:rsid w:val="00B443DF"/>
    <w:rsid w:val="00B44A74"/>
    <w:rsid w:val="00B44B76"/>
    <w:rsid w:val="00B45FF9"/>
    <w:rsid w:val="00B4642D"/>
    <w:rsid w:val="00B46CCD"/>
    <w:rsid w:val="00B47DAD"/>
    <w:rsid w:val="00B50D8F"/>
    <w:rsid w:val="00B51BC2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46A9"/>
    <w:rsid w:val="00B66C48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0F68"/>
    <w:rsid w:val="00B81592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940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7241"/>
    <w:rsid w:val="00BD743E"/>
    <w:rsid w:val="00BD7F99"/>
    <w:rsid w:val="00BE4148"/>
    <w:rsid w:val="00BF04FC"/>
    <w:rsid w:val="00BF19A6"/>
    <w:rsid w:val="00BF2EDC"/>
    <w:rsid w:val="00BF3915"/>
    <w:rsid w:val="00C00EA0"/>
    <w:rsid w:val="00C01339"/>
    <w:rsid w:val="00C03716"/>
    <w:rsid w:val="00C04D01"/>
    <w:rsid w:val="00C075F9"/>
    <w:rsid w:val="00C10204"/>
    <w:rsid w:val="00C1050A"/>
    <w:rsid w:val="00C10A7D"/>
    <w:rsid w:val="00C1157C"/>
    <w:rsid w:val="00C11A69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022F"/>
    <w:rsid w:val="00C411EA"/>
    <w:rsid w:val="00C43124"/>
    <w:rsid w:val="00C45D70"/>
    <w:rsid w:val="00C46D71"/>
    <w:rsid w:val="00C46ED4"/>
    <w:rsid w:val="00C501AC"/>
    <w:rsid w:val="00C51058"/>
    <w:rsid w:val="00C51989"/>
    <w:rsid w:val="00C54D0D"/>
    <w:rsid w:val="00C5688E"/>
    <w:rsid w:val="00C56CA3"/>
    <w:rsid w:val="00C6015A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84A48"/>
    <w:rsid w:val="00C90673"/>
    <w:rsid w:val="00C90D94"/>
    <w:rsid w:val="00C917F0"/>
    <w:rsid w:val="00C91DC7"/>
    <w:rsid w:val="00C92CC9"/>
    <w:rsid w:val="00C94AED"/>
    <w:rsid w:val="00C95A8A"/>
    <w:rsid w:val="00CA014D"/>
    <w:rsid w:val="00CA0546"/>
    <w:rsid w:val="00CA10A1"/>
    <w:rsid w:val="00CA174D"/>
    <w:rsid w:val="00CA26A3"/>
    <w:rsid w:val="00CA2B56"/>
    <w:rsid w:val="00CA2DBD"/>
    <w:rsid w:val="00CA49B7"/>
    <w:rsid w:val="00CA5BB1"/>
    <w:rsid w:val="00CA6C33"/>
    <w:rsid w:val="00CA763E"/>
    <w:rsid w:val="00CA7B3E"/>
    <w:rsid w:val="00CA7CA8"/>
    <w:rsid w:val="00CB0542"/>
    <w:rsid w:val="00CB16FB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8E1"/>
    <w:rsid w:val="00CC3AF3"/>
    <w:rsid w:val="00CC5644"/>
    <w:rsid w:val="00CC5680"/>
    <w:rsid w:val="00CC7150"/>
    <w:rsid w:val="00CD1144"/>
    <w:rsid w:val="00CD17BA"/>
    <w:rsid w:val="00CD4EDA"/>
    <w:rsid w:val="00CE0B63"/>
    <w:rsid w:val="00CE4740"/>
    <w:rsid w:val="00CE5A18"/>
    <w:rsid w:val="00CE7803"/>
    <w:rsid w:val="00CF01EA"/>
    <w:rsid w:val="00CF084C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07B03"/>
    <w:rsid w:val="00D1235E"/>
    <w:rsid w:val="00D1399D"/>
    <w:rsid w:val="00D147B5"/>
    <w:rsid w:val="00D1653B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3A1A"/>
    <w:rsid w:val="00D47123"/>
    <w:rsid w:val="00D47339"/>
    <w:rsid w:val="00D50A1E"/>
    <w:rsid w:val="00D522A1"/>
    <w:rsid w:val="00D5334C"/>
    <w:rsid w:val="00D53A50"/>
    <w:rsid w:val="00D54CF4"/>
    <w:rsid w:val="00D552CD"/>
    <w:rsid w:val="00D55B47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420A"/>
    <w:rsid w:val="00D85897"/>
    <w:rsid w:val="00D860D6"/>
    <w:rsid w:val="00D8625C"/>
    <w:rsid w:val="00D90A50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A755F"/>
    <w:rsid w:val="00DB2016"/>
    <w:rsid w:val="00DB2BE6"/>
    <w:rsid w:val="00DB329F"/>
    <w:rsid w:val="00DB3C78"/>
    <w:rsid w:val="00DB48F7"/>
    <w:rsid w:val="00DB530D"/>
    <w:rsid w:val="00DB684A"/>
    <w:rsid w:val="00DB6E8B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3E8"/>
    <w:rsid w:val="00DE2E46"/>
    <w:rsid w:val="00DE396B"/>
    <w:rsid w:val="00DE70E6"/>
    <w:rsid w:val="00DF118A"/>
    <w:rsid w:val="00DF1351"/>
    <w:rsid w:val="00DF588C"/>
    <w:rsid w:val="00DF681D"/>
    <w:rsid w:val="00DF79E5"/>
    <w:rsid w:val="00DF7BA9"/>
    <w:rsid w:val="00E00D57"/>
    <w:rsid w:val="00E020AA"/>
    <w:rsid w:val="00E03C02"/>
    <w:rsid w:val="00E03CDB"/>
    <w:rsid w:val="00E03E80"/>
    <w:rsid w:val="00E053EA"/>
    <w:rsid w:val="00E066B3"/>
    <w:rsid w:val="00E06EC4"/>
    <w:rsid w:val="00E0788A"/>
    <w:rsid w:val="00E07A79"/>
    <w:rsid w:val="00E117EE"/>
    <w:rsid w:val="00E12BFA"/>
    <w:rsid w:val="00E14C9C"/>
    <w:rsid w:val="00E20D5A"/>
    <w:rsid w:val="00E21A79"/>
    <w:rsid w:val="00E21F23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3BCF"/>
    <w:rsid w:val="00E458D8"/>
    <w:rsid w:val="00E46FB3"/>
    <w:rsid w:val="00E5032F"/>
    <w:rsid w:val="00E5294D"/>
    <w:rsid w:val="00E535A9"/>
    <w:rsid w:val="00E53FCA"/>
    <w:rsid w:val="00E5586E"/>
    <w:rsid w:val="00E5701D"/>
    <w:rsid w:val="00E57B3A"/>
    <w:rsid w:val="00E61D79"/>
    <w:rsid w:val="00E62615"/>
    <w:rsid w:val="00E62A37"/>
    <w:rsid w:val="00E63660"/>
    <w:rsid w:val="00E647B6"/>
    <w:rsid w:val="00E65EC7"/>
    <w:rsid w:val="00E67CA3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962DC"/>
    <w:rsid w:val="00E97BAC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2400"/>
    <w:rsid w:val="00EB427B"/>
    <w:rsid w:val="00EB60A9"/>
    <w:rsid w:val="00EC0A10"/>
    <w:rsid w:val="00EC0C2B"/>
    <w:rsid w:val="00EC4812"/>
    <w:rsid w:val="00EC54D2"/>
    <w:rsid w:val="00EC596A"/>
    <w:rsid w:val="00EC5D49"/>
    <w:rsid w:val="00EC6EB5"/>
    <w:rsid w:val="00EC7A6D"/>
    <w:rsid w:val="00EC7BFC"/>
    <w:rsid w:val="00ED018F"/>
    <w:rsid w:val="00ED055F"/>
    <w:rsid w:val="00ED18CD"/>
    <w:rsid w:val="00ED1D8F"/>
    <w:rsid w:val="00ED20BD"/>
    <w:rsid w:val="00ED3D2B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F0089E"/>
    <w:rsid w:val="00F00CA4"/>
    <w:rsid w:val="00F013F1"/>
    <w:rsid w:val="00F0230A"/>
    <w:rsid w:val="00F03C26"/>
    <w:rsid w:val="00F06A2D"/>
    <w:rsid w:val="00F06CBA"/>
    <w:rsid w:val="00F073DD"/>
    <w:rsid w:val="00F1164C"/>
    <w:rsid w:val="00F125F6"/>
    <w:rsid w:val="00F133A5"/>
    <w:rsid w:val="00F13879"/>
    <w:rsid w:val="00F15157"/>
    <w:rsid w:val="00F169B1"/>
    <w:rsid w:val="00F16C50"/>
    <w:rsid w:val="00F17596"/>
    <w:rsid w:val="00F177B7"/>
    <w:rsid w:val="00F226A3"/>
    <w:rsid w:val="00F22D91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4F45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1692"/>
    <w:rsid w:val="00F62213"/>
    <w:rsid w:val="00F65056"/>
    <w:rsid w:val="00F66F0E"/>
    <w:rsid w:val="00F6754A"/>
    <w:rsid w:val="00F7083F"/>
    <w:rsid w:val="00F745E8"/>
    <w:rsid w:val="00F76BD1"/>
    <w:rsid w:val="00F86EDB"/>
    <w:rsid w:val="00F87EF8"/>
    <w:rsid w:val="00F90AAE"/>
    <w:rsid w:val="00F95B92"/>
    <w:rsid w:val="00F966B4"/>
    <w:rsid w:val="00FA10E7"/>
    <w:rsid w:val="00FA1638"/>
    <w:rsid w:val="00FA17FE"/>
    <w:rsid w:val="00FA1882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0288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F7B2-BBAC-4709-933D-E0A2D57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7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Web)"/>
    <w:basedOn w:val="a"/>
    <w:link w:val="af"/>
    <w:unhideWhenUsed/>
    <w:rsid w:val="00F177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locked/>
    <w:rsid w:val="00F1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C05BE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6C0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6C05B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rsid w:val="006C05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6C05B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Для_актов"/>
    <w:basedOn w:val="a"/>
    <w:rsid w:val="006C05BE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6C05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0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6C05BE"/>
    <w:rPr>
      <w:rFonts w:cs="Times New Roman"/>
      <w:b/>
      <w:color w:val="008000"/>
    </w:rPr>
  </w:style>
  <w:style w:type="paragraph" w:customStyle="1" w:styleId="western">
    <w:name w:val="western"/>
    <w:basedOn w:val="a"/>
    <w:rsid w:val="006C0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b">
    <w:name w:val="cb"/>
    <w:basedOn w:val="a"/>
    <w:rsid w:val="006C05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0906795484D238E87B7039659AB198A44E7CE34C6BFB2E124F37CDF333711A915D9BAF7939BA4DB797051788AC08F5046EEECB4D93EkAYC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3100CD57BBF8C705BA0FBA7FE42AC934CC315873B25D194232E409FA99E66BD80E289ED2093F2BF78EA4B196FB9C760736B9A9A48136BF6BN6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3100CD57BBF8C705BA0FBA7FE42AC934CC315873B25D194232E409FA99E66BD80E289ED2093F2BF28EA4B196FB9C760736B9A9A48136BF6BN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53100CD57BBF8C705BA0FBA7FE42AC934CC315873B25D194232E409FA99E66BD80E289ED20B3C2FF28EA4B196FB9C760736B9A9A48136BF6BN6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4FC02BCDE2C19EB2381B1EDDA4D09E5AE2DC6BDB58839788B267431DF1B17D79F698962CA6919pCl9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AFA4-B6A1-44A7-B0AE-FAC5DBD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8372</Words>
  <Characters>47723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84</cp:revision>
  <cp:lastPrinted>2020-04-17T07:14:00Z</cp:lastPrinted>
  <dcterms:created xsi:type="dcterms:W3CDTF">2017-04-21T05:14:00Z</dcterms:created>
  <dcterms:modified xsi:type="dcterms:W3CDTF">2020-05-20T08:58:00Z</dcterms:modified>
</cp:coreProperties>
</file>