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F6" w:rsidRDefault="006D33F6" w:rsidP="006D33F6">
      <w:pPr>
        <w:suppressAutoHyphens/>
        <w:spacing w:after="0" w:line="240" w:lineRule="auto"/>
        <w:ind w:firstLine="709"/>
        <w:contextualSpacing/>
        <w:jc w:val="center"/>
        <w:rPr>
          <w:rFonts w:ascii="Times New Roman" w:hAnsi="Times New Roman"/>
          <w:b/>
          <w:sz w:val="28"/>
          <w:szCs w:val="28"/>
          <w:lang w:eastAsia="zh-CN"/>
        </w:rPr>
      </w:pPr>
      <w:r>
        <w:rPr>
          <w:rFonts w:ascii="Times New Roman" w:hAnsi="Times New Roman"/>
          <w:b/>
          <w:sz w:val="28"/>
          <w:szCs w:val="28"/>
          <w:lang w:eastAsia="zh-CN"/>
        </w:rPr>
        <w:t>Информация</w:t>
      </w:r>
    </w:p>
    <w:p w:rsidR="003C3C09" w:rsidRPr="00A42CAC" w:rsidRDefault="007D5F1E" w:rsidP="003C3C09">
      <w:pPr>
        <w:shd w:val="clear" w:color="auto" w:fill="FFFFFF"/>
        <w:spacing w:after="0" w:line="240" w:lineRule="auto"/>
        <w:ind w:firstLine="709"/>
        <w:jc w:val="center"/>
        <w:rPr>
          <w:rFonts w:ascii="Times New Roman" w:hAnsi="Times New Roman" w:cs="Calibri"/>
          <w:sz w:val="28"/>
          <w:szCs w:val="28"/>
          <w:lang w:eastAsia="zh-CN"/>
        </w:rPr>
      </w:pPr>
      <w:r w:rsidRPr="00A42CAC">
        <w:rPr>
          <w:rFonts w:ascii="Times New Roman" w:hAnsi="Times New Roman"/>
          <w:sz w:val="28"/>
          <w:szCs w:val="28"/>
          <w:lang w:eastAsia="zh-CN"/>
        </w:rPr>
        <w:t xml:space="preserve">о результатах контрольного мероприятия </w:t>
      </w:r>
      <w:r w:rsidR="006E2790" w:rsidRPr="00A42CAC">
        <w:rPr>
          <w:rFonts w:ascii="Times New Roman" w:hAnsi="Times New Roman"/>
          <w:sz w:val="28"/>
          <w:szCs w:val="28"/>
          <w:lang w:eastAsia="zh-CN"/>
        </w:rPr>
        <w:t>«</w:t>
      </w:r>
      <w:r w:rsidR="00F64399" w:rsidRPr="00A42CAC">
        <w:rPr>
          <w:rFonts w:ascii="Times New Roman" w:hAnsi="Times New Roman"/>
          <w:sz w:val="28"/>
          <w:szCs w:val="28"/>
        </w:rPr>
        <w:t xml:space="preserve">Проверка целевого и эффективного использования средств бюджета </w:t>
      </w:r>
      <w:proofErr w:type="spellStart"/>
      <w:r w:rsidR="00F64399" w:rsidRPr="00A42CAC">
        <w:rPr>
          <w:rFonts w:ascii="Times New Roman" w:hAnsi="Times New Roman"/>
          <w:sz w:val="28"/>
          <w:szCs w:val="28"/>
        </w:rPr>
        <w:t>Усть-Кутского</w:t>
      </w:r>
      <w:proofErr w:type="spellEnd"/>
      <w:r w:rsidR="00F64399" w:rsidRPr="00A42CAC">
        <w:rPr>
          <w:rFonts w:ascii="Times New Roman" w:hAnsi="Times New Roman"/>
          <w:sz w:val="28"/>
          <w:szCs w:val="28"/>
        </w:rPr>
        <w:t xml:space="preserve"> муниципального образования (городского поселения), выделенных Муниципального бюджетного учреждения культуры  «ДК Речники» УКМО (ГП) в 2016 год</w:t>
      </w:r>
      <w:r w:rsidR="006E2790" w:rsidRPr="00A42CAC">
        <w:rPr>
          <w:rFonts w:ascii="Times New Roman" w:hAnsi="Times New Roman"/>
          <w:sz w:val="28"/>
          <w:szCs w:val="28"/>
        </w:rPr>
        <w:t>»</w:t>
      </w:r>
    </w:p>
    <w:p w:rsidR="007D5F1E" w:rsidRPr="00A42CAC" w:rsidRDefault="007D5F1E" w:rsidP="003C3C09">
      <w:pPr>
        <w:suppressAutoHyphens/>
        <w:spacing w:after="0" w:line="240" w:lineRule="auto"/>
        <w:ind w:firstLine="709"/>
        <w:contextualSpacing/>
        <w:jc w:val="center"/>
        <w:rPr>
          <w:rFonts w:ascii="Times New Roman" w:hAnsi="Times New Roman"/>
          <w:sz w:val="28"/>
          <w:szCs w:val="28"/>
        </w:rPr>
      </w:pPr>
    </w:p>
    <w:p w:rsidR="0037304D" w:rsidRPr="0037304D" w:rsidRDefault="0037304D" w:rsidP="0037304D">
      <w:pPr>
        <w:suppressAutoHyphens/>
        <w:overflowPunct w:val="0"/>
        <w:spacing w:after="0" w:line="240" w:lineRule="auto"/>
        <w:ind w:firstLine="709"/>
        <w:jc w:val="both"/>
        <w:textAlignment w:val="baseline"/>
        <w:rPr>
          <w:rFonts w:ascii="Times New Roman" w:hAnsi="Times New Roman"/>
          <w:sz w:val="28"/>
          <w:szCs w:val="28"/>
        </w:rPr>
      </w:pPr>
      <w:r w:rsidRPr="00A42CAC">
        <w:rPr>
          <w:rFonts w:ascii="Times New Roman" w:eastAsia="Times New Roman" w:hAnsi="Times New Roman"/>
          <w:bCs/>
          <w:color w:val="000000"/>
          <w:sz w:val="28"/>
          <w:szCs w:val="28"/>
        </w:rPr>
        <w:t xml:space="preserve">Основание для проведения контрольного мероприятия: </w:t>
      </w:r>
      <w:r w:rsidR="00F64399" w:rsidRPr="00A42CAC">
        <w:rPr>
          <w:rFonts w:ascii="Times New Roman" w:eastAsia="Times New Roman" w:hAnsi="Times New Roman"/>
          <w:sz w:val="28"/>
          <w:szCs w:val="28"/>
        </w:rPr>
        <w:t>.</w:t>
      </w:r>
      <w:r w:rsidR="00F64399" w:rsidRPr="00D54233">
        <w:rPr>
          <w:rFonts w:ascii="Times New Roman" w:eastAsia="Times New Roman" w:hAnsi="Times New Roman"/>
          <w:sz w:val="28"/>
          <w:szCs w:val="28"/>
        </w:rPr>
        <w:t xml:space="preserve"> 2.</w:t>
      </w:r>
      <w:r w:rsidR="00F64399">
        <w:rPr>
          <w:rFonts w:ascii="Times New Roman" w:eastAsia="Times New Roman" w:hAnsi="Times New Roman"/>
          <w:sz w:val="28"/>
          <w:szCs w:val="28"/>
        </w:rPr>
        <w:t>11</w:t>
      </w:r>
      <w:r w:rsidR="00F64399" w:rsidRPr="00D54233">
        <w:rPr>
          <w:rFonts w:ascii="Times New Roman" w:eastAsia="Times New Roman" w:hAnsi="Times New Roman"/>
          <w:sz w:val="28"/>
          <w:szCs w:val="28"/>
        </w:rPr>
        <w:t xml:space="preserve"> Плана работы</w:t>
      </w:r>
      <w:proofErr w:type="gramStart"/>
      <w:r w:rsidR="00F64399" w:rsidRPr="00D54233">
        <w:rPr>
          <w:rFonts w:ascii="Times New Roman" w:eastAsia="Times New Roman" w:hAnsi="Times New Roman"/>
          <w:sz w:val="28"/>
          <w:szCs w:val="28"/>
        </w:rPr>
        <w:t xml:space="preserve"> </w:t>
      </w:r>
      <w:proofErr w:type="spellStart"/>
      <w:r w:rsidR="00F64399" w:rsidRPr="00D54233">
        <w:rPr>
          <w:rFonts w:ascii="Times New Roman" w:eastAsia="Times New Roman" w:hAnsi="Times New Roman"/>
          <w:sz w:val="28"/>
          <w:szCs w:val="28"/>
        </w:rPr>
        <w:t>К</w:t>
      </w:r>
      <w:proofErr w:type="gramEnd"/>
      <w:r w:rsidR="00F64399" w:rsidRPr="00D54233">
        <w:rPr>
          <w:rFonts w:ascii="Times New Roman" w:eastAsia="Times New Roman" w:hAnsi="Times New Roman"/>
          <w:sz w:val="28"/>
          <w:szCs w:val="28"/>
        </w:rPr>
        <w:t>онтрольно</w:t>
      </w:r>
      <w:proofErr w:type="spellEnd"/>
      <w:r w:rsidR="00F64399" w:rsidRPr="00D54233">
        <w:rPr>
          <w:rFonts w:ascii="Times New Roman" w:eastAsia="Times New Roman" w:hAnsi="Times New Roman"/>
          <w:sz w:val="28"/>
          <w:szCs w:val="28"/>
        </w:rPr>
        <w:t xml:space="preserve"> – счетной комиссии УКМО на 2017 год, распоряжение председателя КСК УКМО от </w:t>
      </w:r>
      <w:r w:rsidR="00F64399">
        <w:rPr>
          <w:rFonts w:ascii="Times New Roman" w:eastAsia="Times New Roman" w:hAnsi="Times New Roman"/>
          <w:sz w:val="28"/>
          <w:szCs w:val="28"/>
        </w:rPr>
        <w:t>06</w:t>
      </w:r>
      <w:r w:rsidR="00F64399" w:rsidRPr="00D54233">
        <w:rPr>
          <w:rFonts w:ascii="Times New Roman" w:eastAsia="Times New Roman" w:hAnsi="Times New Roman"/>
          <w:sz w:val="28"/>
          <w:szCs w:val="28"/>
        </w:rPr>
        <w:t>.</w:t>
      </w:r>
      <w:r w:rsidR="00F64399">
        <w:rPr>
          <w:rFonts w:ascii="Times New Roman" w:eastAsia="Times New Roman" w:hAnsi="Times New Roman"/>
          <w:sz w:val="28"/>
          <w:szCs w:val="28"/>
        </w:rPr>
        <w:t>12</w:t>
      </w:r>
      <w:r w:rsidR="00F64399" w:rsidRPr="00D54233">
        <w:rPr>
          <w:rFonts w:ascii="Times New Roman" w:eastAsia="Times New Roman" w:hAnsi="Times New Roman"/>
          <w:sz w:val="28"/>
          <w:szCs w:val="28"/>
        </w:rPr>
        <w:t xml:space="preserve">.2017  № </w:t>
      </w:r>
      <w:r w:rsidR="00F64399">
        <w:rPr>
          <w:rFonts w:ascii="Times New Roman" w:eastAsia="Times New Roman" w:hAnsi="Times New Roman"/>
          <w:sz w:val="28"/>
          <w:szCs w:val="28"/>
        </w:rPr>
        <w:t>63</w:t>
      </w:r>
      <w:r w:rsidR="00F64399" w:rsidRPr="00D54233">
        <w:rPr>
          <w:rFonts w:ascii="Times New Roman" w:eastAsia="Times New Roman" w:hAnsi="Times New Roman"/>
          <w:sz w:val="28"/>
          <w:szCs w:val="28"/>
        </w:rPr>
        <w:t>-п.</w:t>
      </w:r>
    </w:p>
    <w:p w:rsidR="00F64399" w:rsidRDefault="0037304D" w:rsidP="00F64399">
      <w:pPr>
        <w:suppressAutoHyphens/>
        <w:overflowPunct w:val="0"/>
        <w:spacing w:after="0" w:line="240" w:lineRule="auto"/>
        <w:ind w:firstLine="709"/>
        <w:jc w:val="both"/>
        <w:textAlignment w:val="baseline"/>
        <w:rPr>
          <w:rFonts w:ascii="Times New Roman" w:hAnsi="Times New Roman"/>
          <w:sz w:val="28"/>
          <w:szCs w:val="28"/>
        </w:rPr>
      </w:pPr>
      <w:r w:rsidRPr="00A42CAC">
        <w:rPr>
          <w:rFonts w:ascii="Times New Roman" w:eastAsia="Times New Roman" w:hAnsi="Times New Roman"/>
          <w:sz w:val="28"/>
          <w:szCs w:val="28"/>
        </w:rPr>
        <w:t>Объект контрольного мероприятия:</w:t>
      </w:r>
      <w:r w:rsidRPr="0037304D">
        <w:rPr>
          <w:rFonts w:ascii="Times New Roman" w:eastAsia="Times New Roman" w:hAnsi="Times New Roman"/>
          <w:sz w:val="28"/>
          <w:szCs w:val="28"/>
        </w:rPr>
        <w:t xml:space="preserve"> </w:t>
      </w:r>
      <w:r w:rsidR="00F64399" w:rsidRPr="00C41750">
        <w:rPr>
          <w:rFonts w:ascii="Times New Roman" w:hAnsi="Times New Roman"/>
          <w:sz w:val="28"/>
          <w:szCs w:val="28"/>
        </w:rPr>
        <w:t xml:space="preserve">Муниципальное бюджетное учреждение культуры  «ДК Речники» </w:t>
      </w:r>
      <w:r w:rsidR="00F64399" w:rsidRPr="00C41750">
        <w:rPr>
          <w:rFonts w:ascii="Times New Roman" w:eastAsia="Times New Roman" w:hAnsi="Times New Roman"/>
          <w:sz w:val="28"/>
          <w:szCs w:val="28"/>
        </w:rPr>
        <w:t xml:space="preserve"> УКМО (городского поселения) (далее также – М</w:t>
      </w:r>
      <w:r w:rsidR="00F64399" w:rsidRPr="00D54233">
        <w:rPr>
          <w:rFonts w:ascii="Times New Roman" w:eastAsia="Times New Roman" w:hAnsi="Times New Roman"/>
          <w:sz w:val="28"/>
          <w:szCs w:val="28"/>
        </w:rPr>
        <w:t>БУК «</w:t>
      </w:r>
      <w:r w:rsidR="00F64399">
        <w:rPr>
          <w:rFonts w:ascii="Times New Roman" w:eastAsia="Times New Roman" w:hAnsi="Times New Roman"/>
          <w:sz w:val="28"/>
          <w:szCs w:val="28"/>
        </w:rPr>
        <w:t>ДК Речники</w:t>
      </w:r>
      <w:r w:rsidR="00F64399" w:rsidRPr="00D54233">
        <w:rPr>
          <w:rFonts w:ascii="Times New Roman" w:eastAsia="Times New Roman" w:hAnsi="Times New Roman"/>
          <w:sz w:val="28"/>
          <w:szCs w:val="28"/>
        </w:rPr>
        <w:t xml:space="preserve">» </w:t>
      </w:r>
      <w:r w:rsidR="00F64399" w:rsidRPr="00C41750">
        <w:rPr>
          <w:rFonts w:ascii="Times New Roman" w:eastAsia="Times New Roman" w:hAnsi="Times New Roman"/>
          <w:sz w:val="28"/>
          <w:szCs w:val="28"/>
        </w:rPr>
        <w:t>УКМО</w:t>
      </w:r>
      <w:r w:rsidR="00F64399">
        <w:rPr>
          <w:rFonts w:ascii="Times New Roman" w:eastAsia="Times New Roman" w:hAnsi="Times New Roman"/>
          <w:sz w:val="28"/>
          <w:szCs w:val="28"/>
        </w:rPr>
        <w:t xml:space="preserve"> (ГП)</w:t>
      </w:r>
      <w:r w:rsidR="00F64399" w:rsidRPr="00D54233">
        <w:rPr>
          <w:rFonts w:ascii="Times New Roman" w:eastAsia="Times New Roman" w:hAnsi="Times New Roman"/>
          <w:sz w:val="28"/>
          <w:szCs w:val="28"/>
        </w:rPr>
        <w:t>,  «</w:t>
      </w:r>
      <w:r w:rsidR="00F64399">
        <w:rPr>
          <w:rFonts w:ascii="Times New Roman" w:eastAsia="Times New Roman" w:hAnsi="Times New Roman"/>
          <w:sz w:val="28"/>
          <w:szCs w:val="28"/>
        </w:rPr>
        <w:t>ДК Речники</w:t>
      </w:r>
      <w:r w:rsidR="00F64399" w:rsidRPr="00D54233">
        <w:rPr>
          <w:rFonts w:ascii="Times New Roman" w:eastAsia="Times New Roman" w:hAnsi="Times New Roman"/>
          <w:sz w:val="28"/>
          <w:szCs w:val="28"/>
        </w:rPr>
        <w:t>»</w:t>
      </w:r>
      <w:r w:rsidR="00F64399">
        <w:rPr>
          <w:rFonts w:ascii="Times New Roman" w:eastAsia="Times New Roman" w:hAnsi="Times New Roman"/>
          <w:sz w:val="28"/>
          <w:szCs w:val="28"/>
        </w:rPr>
        <w:t>, учреждение</w:t>
      </w:r>
      <w:r w:rsidR="00F64399" w:rsidRPr="00D54233">
        <w:rPr>
          <w:rFonts w:ascii="Times New Roman" w:eastAsia="Times New Roman" w:hAnsi="Times New Roman"/>
          <w:sz w:val="28"/>
          <w:szCs w:val="28"/>
        </w:rPr>
        <w:t>)</w:t>
      </w:r>
      <w:r w:rsidR="00F64399" w:rsidRPr="00D54233">
        <w:rPr>
          <w:rFonts w:ascii="Times New Roman" w:hAnsi="Times New Roman"/>
          <w:sz w:val="28"/>
          <w:szCs w:val="28"/>
        </w:rPr>
        <w:t>.</w:t>
      </w:r>
    </w:p>
    <w:p w:rsidR="00F64399" w:rsidRDefault="0037304D" w:rsidP="0037304D">
      <w:pPr>
        <w:suppressAutoHyphens/>
        <w:overflowPunct w:val="0"/>
        <w:spacing w:after="0" w:line="240" w:lineRule="auto"/>
        <w:ind w:firstLine="709"/>
        <w:jc w:val="both"/>
        <w:textAlignment w:val="baseline"/>
        <w:rPr>
          <w:rFonts w:ascii="Times New Roman" w:eastAsia="Times New Roman" w:hAnsi="Times New Roman"/>
          <w:sz w:val="28"/>
          <w:szCs w:val="28"/>
        </w:rPr>
      </w:pPr>
      <w:r w:rsidRPr="00A42CAC">
        <w:rPr>
          <w:rFonts w:ascii="Times New Roman" w:eastAsia="Courier New" w:hAnsi="Times New Roman"/>
          <w:color w:val="00000A"/>
          <w:sz w:val="28"/>
          <w:szCs w:val="28"/>
          <w:lang w:eastAsia="zh-CN" w:bidi="hi-IN"/>
        </w:rPr>
        <w:t>Цель контрольного мероприятия:</w:t>
      </w:r>
      <w:r w:rsidRPr="0037304D">
        <w:rPr>
          <w:rFonts w:ascii="Times New Roman" w:eastAsia="Courier New" w:hAnsi="Times New Roman"/>
          <w:color w:val="00000A"/>
          <w:sz w:val="28"/>
          <w:szCs w:val="28"/>
          <w:lang w:eastAsia="zh-CN" w:bidi="hi-IN"/>
        </w:rPr>
        <w:t xml:space="preserve"> </w:t>
      </w:r>
      <w:r w:rsidR="00F64399" w:rsidRPr="00726475">
        <w:rPr>
          <w:rFonts w:ascii="Times New Roman" w:eastAsia="Times New Roman" w:hAnsi="Times New Roman"/>
          <w:sz w:val="28"/>
          <w:szCs w:val="28"/>
          <w:lang w:eastAsia="ru-RU"/>
        </w:rPr>
        <w:t xml:space="preserve">оценка целевого и эффективного использования </w:t>
      </w:r>
      <w:r w:rsidR="00F64399" w:rsidRPr="00726475">
        <w:rPr>
          <w:rFonts w:ascii="Times New Roman" w:eastAsia="Times New Roman" w:hAnsi="Times New Roman"/>
          <w:sz w:val="28"/>
          <w:szCs w:val="28"/>
        </w:rPr>
        <w:t xml:space="preserve">средств, выделенных </w:t>
      </w:r>
      <w:r w:rsidR="00F64399">
        <w:rPr>
          <w:rFonts w:ascii="Times New Roman" w:eastAsia="Times New Roman" w:hAnsi="Times New Roman"/>
          <w:sz w:val="28"/>
          <w:szCs w:val="28"/>
        </w:rPr>
        <w:t>МБУК</w:t>
      </w:r>
      <w:r w:rsidR="00F64399" w:rsidRPr="00726475">
        <w:rPr>
          <w:rFonts w:ascii="Times New Roman" w:eastAsia="Times New Roman" w:hAnsi="Times New Roman"/>
          <w:sz w:val="28"/>
          <w:szCs w:val="28"/>
        </w:rPr>
        <w:t xml:space="preserve"> </w:t>
      </w:r>
      <w:r w:rsidR="00F64399" w:rsidRPr="00D54233">
        <w:rPr>
          <w:rFonts w:ascii="Times New Roman" w:eastAsia="Times New Roman" w:hAnsi="Times New Roman"/>
          <w:sz w:val="28"/>
          <w:szCs w:val="28"/>
        </w:rPr>
        <w:t>«</w:t>
      </w:r>
      <w:r w:rsidR="00F64399">
        <w:rPr>
          <w:rFonts w:ascii="Times New Roman" w:eastAsia="Times New Roman" w:hAnsi="Times New Roman"/>
          <w:sz w:val="28"/>
          <w:szCs w:val="28"/>
        </w:rPr>
        <w:t>ДК Речники</w:t>
      </w:r>
      <w:r w:rsidR="00F64399" w:rsidRPr="00D54233">
        <w:rPr>
          <w:rFonts w:ascii="Times New Roman" w:eastAsia="Times New Roman" w:hAnsi="Times New Roman"/>
          <w:sz w:val="28"/>
          <w:szCs w:val="28"/>
        </w:rPr>
        <w:t>»</w:t>
      </w:r>
      <w:r w:rsidR="00F64399">
        <w:rPr>
          <w:rFonts w:ascii="Times New Roman" w:eastAsia="Times New Roman" w:hAnsi="Times New Roman"/>
          <w:sz w:val="28"/>
          <w:szCs w:val="28"/>
        </w:rPr>
        <w:t xml:space="preserve"> УКМО (ГП).</w:t>
      </w:r>
    </w:p>
    <w:p w:rsidR="00A42CAC" w:rsidRPr="00A42CAC" w:rsidRDefault="00A42CAC" w:rsidP="00A42CAC">
      <w:pPr>
        <w:suppressAutoHyphens/>
        <w:overflowPunct w:val="0"/>
        <w:spacing w:after="0" w:line="240" w:lineRule="auto"/>
        <w:ind w:firstLine="709"/>
        <w:jc w:val="both"/>
        <w:textAlignment w:val="baseline"/>
        <w:rPr>
          <w:rFonts w:ascii="Times New Roman" w:eastAsia="Times New Roman" w:hAnsi="Times New Roman"/>
          <w:bCs/>
          <w:sz w:val="28"/>
          <w:szCs w:val="28"/>
          <w:lang w:eastAsia="zh-CN"/>
        </w:rPr>
      </w:pPr>
      <w:r w:rsidRPr="00A42CAC">
        <w:rPr>
          <w:rFonts w:ascii="Times New Roman" w:eastAsia="Times New Roman" w:hAnsi="Times New Roman"/>
          <w:bCs/>
          <w:color w:val="000000"/>
          <w:sz w:val="28"/>
          <w:szCs w:val="28"/>
        </w:rPr>
        <w:t>Проверяемый период деятельности: 2016 год.</w:t>
      </w:r>
    </w:p>
    <w:p w:rsidR="0037304D" w:rsidRPr="0037304D" w:rsidRDefault="00A42CAC" w:rsidP="00A42CAC">
      <w:pPr>
        <w:widowControl w:val="0"/>
        <w:tabs>
          <w:tab w:val="left" w:pos="1080"/>
        </w:tabs>
        <w:suppressAutoHyphens/>
        <w:spacing w:after="0" w:line="240" w:lineRule="auto"/>
        <w:ind w:firstLine="709"/>
        <w:jc w:val="both"/>
        <w:rPr>
          <w:rFonts w:ascii="Times New Roman" w:eastAsia="Courier New" w:hAnsi="Times New Roman"/>
          <w:bCs/>
          <w:color w:val="000000"/>
          <w:sz w:val="28"/>
          <w:szCs w:val="28"/>
          <w:lang w:eastAsia="zh-CN" w:bidi="hi-IN"/>
        </w:rPr>
      </w:pPr>
      <w:r w:rsidRPr="00A42CAC">
        <w:rPr>
          <w:rFonts w:ascii="Times New Roman" w:eastAsia="Courier New" w:hAnsi="Times New Roman"/>
          <w:bCs/>
          <w:color w:val="000000"/>
          <w:sz w:val="28"/>
          <w:szCs w:val="28"/>
          <w:lang w:eastAsia="zh-CN" w:bidi="hi-IN"/>
        </w:rPr>
        <w:t>Сроки проведения контрольного мероприятия</w:t>
      </w:r>
      <w:r w:rsidR="00DF493E">
        <w:rPr>
          <w:rFonts w:ascii="Times New Roman" w:eastAsia="Courier New" w:hAnsi="Times New Roman"/>
          <w:bCs/>
          <w:color w:val="000000"/>
          <w:sz w:val="28"/>
          <w:szCs w:val="28"/>
          <w:lang w:eastAsia="zh-CN" w:bidi="hi-IN"/>
        </w:rPr>
        <w:t>:</w:t>
      </w:r>
      <w:r w:rsidR="00DF493E" w:rsidRPr="00DF493E">
        <w:rPr>
          <w:rFonts w:ascii="Times New Roman" w:eastAsia="Times New Roman" w:hAnsi="Times New Roman"/>
          <w:bCs/>
          <w:sz w:val="28"/>
          <w:szCs w:val="28"/>
        </w:rPr>
        <w:t xml:space="preserve"> </w:t>
      </w:r>
      <w:r w:rsidR="00DF493E" w:rsidRPr="009C554E">
        <w:rPr>
          <w:rFonts w:ascii="Times New Roman" w:eastAsia="Times New Roman" w:hAnsi="Times New Roman"/>
          <w:bCs/>
          <w:sz w:val="28"/>
          <w:szCs w:val="28"/>
        </w:rPr>
        <w:t xml:space="preserve">с 07 декабря  по  29  декабря </w:t>
      </w:r>
      <w:r w:rsidR="00DF493E" w:rsidRPr="009C554E">
        <w:rPr>
          <w:rFonts w:ascii="Times New Roman" w:eastAsia="Times New Roman" w:hAnsi="Times New Roman"/>
          <w:sz w:val="28"/>
          <w:szCs w:val="28"/>
        </w:rPr>
        <w:t>2017 года</w:t>
      </w:r>
      <w:r w:rsidR="00DF493E" w:rsidRPr="0037304D">
        <w:rPr>
          <w:rFonts w:ascii="Times New Roman" w:eastAsia="Courier New" w:hAnsi="Times New Roman"/>
          <w:bCs/>
          <w:color w:val="000000"/>
          <w:sz w:val="28"/>
          <w:szCs w:val="28"/>
          <w:lang w:eastAsia="zh-CN" w:bidi="hi-IN"/>
        </w:rPr>
        <w:t>.</w:t>
      </w:r>
    </w:p>
    <w:p w:rsidR="006D33F6" w:rsidRDefault="006D33F6" w:rsidP="006D33F6">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p>
    <w:p w:rsidR="007D5F1E" w:rsidRPr="00A42CAC" w:rsidRDefault="00F9082D" w:rsidP="006D33F6">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42CAC">
        <w:rPr>
          <w:rFonts w:ascii="Times New Roman" w:eastAsia="Times New Roman" w:hAnsi="Times New Roman"/>
          <w:bCs/>
          <w:sz w:val="28"/>
          <w:szCs w:val="28"/>
          <w:lang w:eastAsia="ru-RU"/>
        </w:rPr>
        <w:t>Контрольным мероприятием установлено:</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1. В соответствии с соглашением от 11.01.2016 №</w:t>
      </w:r>
      <w:r w:rsidR="006E2790">
        <w:rPr>
          <w:rFonts w:ascii="Times New Roman" w:eastAsia="Times New Roman" w:hAnsi="Times New Roman"/>
          <w:color w:val="000000"/>
          <w:sz w:val="28"/>
          <w:szCs w:val="28"/>
          <w:lang w:eastAsia="zh-CN"/>
        </w:rPr>
        <w:t xml:space="preserve"> </w:t>
      </w:r>
      <w:r w:rsidRPr="00F64399">
        <w:rPr>
          <w:rFonts w:ascii="Times New Roman" w:eastAsia="Times New Roman" w:hAnsi="Times New Roman"/>
          <w:color w:val="000000"/>
          <w:sz w:val="28"/>
          <w:szCs w:val="28"/>
          <w:lang w:eastAsia="zh-CN"/>
        </w:rPr>
        <w:t>2 «О предоставлении субсидии на финансовое обеспечение выполнения муниципального задания муниципальным бюджетным учреждением культуры «Дом культуры Речники» УКМО (ГП)», заключенным между Учредителем и МБУК «ДК Речники», размер субсидии на финансовое обеспечение  муниципального задания на оказание муниципальных услуг</w:t>
      </w:r>
      <w:r w:rsidR="006E2790">
        <w:rPr>
          <w:rFonts w:ascii="Times New Roman" w:eastAsia="Times New Roman" w:hAnsi="Times New Roman"/>
          <w:color w:val="000000"/>
          <w:sz w:val="28"/>
          <w:szCs w:val="28"/>
          <w:lang w:eastAsia="zh-CN"/>
        </w:rPr>
        <w:t>,</w:t>
      </w:r>
      <w:r w:rsidRPr="00F64399">
        <w:rPr>
          <w:rFonts w:ascii="Times New Roman" w:eastAsia="Times New Roman" w:hAnsi="Times New Roman"/>
          <w:color w:val="000000"/>
          <w:sz w:val="28"/>
          <w:szCs w:val="28"/>
          <w:lang w:eastAsia="zh-CN"/>
        </w:rPr>
        <w:t xml:space="preserve"> </w:t>
      </w:r>
      <w:r w:rsidR="006E2790">
        <w:rPr>
          <w:rFonts w:ascii="Times New Roman" w:eastAsia="Times New Roman" w:hAnsi="Times New Roman"/>
          <w:color w:val="000000"/>
          <w:sz w:val="28"/>
          <w:szCs w:val="28"/>
          <w:lang w:eastAsia="zh-CN"/>
        </w:rPr>
        <w:t xml:space="preserve">с учетом изменений, </w:t>
      </w:r>
      <w:r w:rsidRPr="00F64399">
        <w:rPr>
          <w:rFonts w:ascii="Times New Roman" w:eastAsia="Times New Roman" w:hAnsi="Times New Roman"/>
          <w:color w:val="000000"/>
          <w:sz w:val="28"/>
          <w:szCs w:val="28"/>
          <w:lang w:eastAsia="zh-CN"/>
        </w:rPr>
        <w:t>составил в сумме 12 727,96 тыс. рублей.</w:t>
      </w:r>
    </w:p>
    <w:p w:rsidR="00F64399" w:rsidRPr="00F64399" w:rsidRDefault="006E2790"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В соответствии с соглашением от 11.01.2016 №</w:t>
      </w:r>
      <w:r>
        <w:rPr>
          <w:rFonts w:ascii="Times New Roman" w:eastAsia="Times New Roman" w:hAnsi="Times New Roman"/>
          <w:color w:val="000000"/>
          <w:sz w:val="28"/>
          <w:szCs w:val="28"/>
          <w:lang w:eastAsia="zh-CN"/>
        </w:rPr>
        <w:t xml:space="preserve"> 3 в </w:t>
      </w:r>
      <w:r w:rsidR="00F64399" w:rsidRPr="00F64399">
        <w:rPr>
          <w:rFonts w:ascii="Times New Roman" w:eastAsia="Times New Roman" w:hAnsi="Times New Roman"/>
          <w:color w:val="000000"/>
          <w:sz w:val="28"/>
          <w:szCs w:val="28"/>
          <w:lang w:eastAsia="zh-CN"/>
        </w:rPr>
        <w:t xml:space="preserve"> 2016 году </w:t>
      </w:r>
      <w:r>
        <w:rPr>
          <w:rFonts w:ascii="Times New Roman" w:eastAsia="Times New Roman" w:hAnsi="Times New Roman"/>
          <w:color w:val="000000"/>
          <w:sz w:val="28"/>
          <w:szCs w:val="28"/>
          <w:lang w:eastAsia="zh-CN"/>
        </w:rPr>
        <w:t>у</w:t>
      </w:r>
      <w:r w:rsidR="00F64399" w:rsidRPr="00F64399">
        <w:rPr>
          <w:rFonts w:ascii="Times New Roman" w:eastAsia="Times New Roman" w:hAnsi="Times New Roman"/>
          <w:color w:val="000000"/>
          <w:sz w:val="28"/>
          <w:szCs w:val="28"/>
          <w:lang w:eastAsia="zh-CN"/>
        </w:rPr>
        <w:t>чреждению предоставлялись субсидии на иные цели  в размере  1 986,6 тыс. рублей.</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План финансово-хозяйственной деятельности МБУК «ДК Речники» УКМО (ГП)  на 2016 год утвержден в окончательной редакции по доходам в объеме 16 756,5 тыс.  рублей, в том числе:</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субсидия на выполнение муниципального задания – 12 727,9 тыс. рублей;</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-субсидии на иные цели – 1 986,6 тыс.  рублей;</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xml:space="preserve">-собственные доходы учреждения – 2 042,0 тыс. рублей; </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по расходам – 16 756,5 тыс. рублей, в том числе:</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за счет субсидии на выполнение муниципального задания – 12 727,9 тыс. рублей;</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-субсидии на иные цели – 1 986,6 тыс. рублей;</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xml:space="preserve">- собственных доходов учреждения – 2 042,0 тыс. рублей. </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xml:space="preserve">Субсидии на финансовое обеспечение и выполнение муниципального задания составили 12 655,6 тыс. рублей, что составляет 99,43% от утвержденных плановых показателей по доходам. Кассовые расходы составили в сумме 12 655,6 тыс.  рублей, что по отношению к плану составляет 99,43%.  </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Субсидии на иные цели исполнение плановых назначений по поступлениям составляет 1 986,6 тыс. рублей или 100% утвержденных поступлений, по расходам в сумме 1 986,6 тыс. рублей.</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lastRenderedPageBreak/>
        <w:t>Исполнение по поступлениям средств от приносящей доход деятельности (собственные доходы учреждения) составило 2 042,0 тыс. рублей или 100% от плана, расходные обязательства исполнены на 99,48% и составили 2 031,3 тыс. рублей.</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xml:space="preserve">Контрольное мероприятие показало, что кредиторская задолженность по приносящей доход деятельности ф.0503769 на 01.01.2017 года отсутствует, дебиторская задолженность на 01.01.2017 числится в сумме 130,0 тыс. рублей. Принятые обязательства по приносящей доход деятельности должны быть меньше принятых и исполненных денежных обязательств на сумму дебиторской задолженности 130,0 тыс. рублей, что говорит о недостоверности данных ф.0503738.  </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2. Анализ использования средств и исполнения Плана финансово – хозяйственной деятельности за 2016 год выявил следующие нарушения и замечания:</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xml:space="preserve">2.1. По КОСГУ 212 «Прочие выплаты», КВР 112 Планом финансово – хозяйственной деятельности  расходы запланированы в сумме 189,2 тыс. рублей, в отчете учреждения плановые назначения указаны  в сумме 188,9 тыс.  рублей. Расхождения в плановых показателях составляют в сумме 0,3 тыс.  рублей, </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В нарушение п.26 «Положения о служебных командировках»</w:t>
      </w:r>
      <w:r w:rsidR="00794311">
        <w:rPr>
          <w:rFonts w:ascii="Times New Roman" w:eastAsia="Times New Roman" w:hAnsi="Times New Roman"/>
          <w:color w:val="000000"/>
          <w:sz w:val="28"/>
          <w:szCs w:val="28"/>
          <w:lang w:eastAsia="zh-CN"/>
        </w:rPr>
        <w:t>, утвержденного постановлением Пр</w:t>
      </w:r>
      <w:r w:rsidRPr="00F64399">
        <w:rPr>
          <w:rFonts w:ascii="Times New Roman" w:eastAsia="Times New Roman" w:hAnsi="Times New Roman"/>
          <w:color w:val="000000"/>
          <w:sz w:val="28"/>
          <w:szCs w:val="28"/>
          <w:lang w:eastAsia="zh-CN"/>
        </w:rPr>
        <w:t>авительства РФ от 13.10.2008 № 749 подотчетными лицами допущен несвоевременный возврат подотчетных сумм в кассу учреждения на сумму 2,4 тыс. рублей.</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В нарушение ст.241.1 Бюджетного кодекса Российской Федерации  при проведении расчетов с подотчетными лицами учреждением допущена  выдача средств подотчетным лицам за счет внесенных остатков неиспользованных подотчетных сумм (остаток использован минуя лицевой счет учреждения) на сумму 2,4 тыс. рублей.</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В авансовых отчетах раздел «Сведения о внесении остатка, выдаче перерасхода»</w:t>
      </w:r>
      <w:r w:rsidR="00794311">
        <w:rPr>
          <w:rFonts w:ascii="Times New Roman" w:eastAsia="Times New Roman" w:hAnsi="Times New Roman"/>
          <w:color w:val="000000"/>
          <w:sz w:val="28"/>
          <w:szCs w:val="28"/>
          <w:lang w:eastAsia="zh-CN"/>
        </w:rPr>
        <w:t xml:space="preserve">, в нарушение требований </w:t>
      </w:r>
      <w:r w:rsidR="005F0A0F" w:rsidRPr="005F0A0F">
        <w:rPr>
          <w:rFonts w:ascii="Times New Roman" w:eastAsia="Times New Roman" w:hAnsi="Times New Roman"/>
          <w:sz w:val="28"/>
          <w:szCs w:val="28"/>
        </w:rPr>
        <w:t>Федерального закона от 06.12.2011 № 402-ФЗ «О бухгалтерском учете»</w:t>
      </w:r>
      <w:bookmarkStart w:id="0" w:name="_GoBack"/>
      <w:bookmarkEnd w:id="0"/>
      <w:r w:rsidR="00794311">
        <w:rPr>
          <w:rFonts w:ascii="Times New Roman" w:eastAsia="Times New Roman" w:hAnsi="Times New Roman"/>
          <w:color w:val="000000"/>
          <w:sz w:val="28"/>
          <w:szCs w:val="28"/>
          <w:lang w:eastAsia="zh-CN"/>
        </w:rPr>
        <w:t>,</w:t>
      </w:r>
      <w:r w:rsidRPr="00F64399">
        <w:rPr>
          <w:rFonts w:ascii="Times New Roman" w:eastAsia="Times New Roman" w:hAnsi="Times New Roman"/>
          <w:color w:val="000000"/>
          <w:sz w:val="28"/>
          <w:szCs w:val="28"/>
          <w:lang w:eastAsia="zh-CN"/>
        </w:rPr>
        <w:t xml:space="preserve"> не заполняется.</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xml:space="preserve">2.2. </w:t>
      </w:r>
      <w:proofErr w:type="gramStart"/>
      <w:r w:rsidR="00794311">
        <w:rPr>
          <w:rFonts w:ascii="Times New Roman" w:eastAsia="Times New Roman" w:hAnsi="Times New Roman"/>
          <w:color w:val="000000"/>
          <w:sz w:val="28"/>
          <w:szCs w:val="28"/>
          <w:lang w:eastAsia="zh-CN"/>
        </w:rPr>
        <w:t>Согласно</w:t>
      </w:r>
      <w:proofErr w:type="gramEnd"/>
      <w:r w:rsidR="00794311">
        <w:rPr>
          <w:rFonts w:ascii="Times New Roman" w:eastAsia="Times New Roman" w:hAnsi="Times New Roman"/>
          <w:color w:val="000000"/>
          <w:sz w:val="28"/>
          <w:szCs w:val="28"/>
          <w:lang w:eastAsia="zh-CN"/>
        </w:rPr>
        <w:t xml:space="preserve"> отчетных данных п</w:t>
      </w:r>
      <w:r w:rsidRPr="00F64399">
        <w:rPr>
          <w:rFonts w:ascii="Times New Roman" w:eastAsia="Times New Roman" w:hAnsi="Times New Roman"/>
          <w:color w:val="000000"/>
          <w:sz w:val="28"/>
          <w:szCs w:val="28"/>
          <w:lang w:eastAsia="zh-CN"/>
        </w:rPr>
        <w:t xml:space="preserve">о КОСГУ 225  «Работы, услуги по содержанию имущества»  КВР 244 кассовый расход составил 1 104,9 тыс.  рублей. Контрольное мероприятие показало, что в течение года расходы, направленные на содержание имущества составили 2 174,4 тыс. рублей. Расхождения с отчетными данными по КОСГУ 225 составляет 1 069,5 тыс.  рублей.  </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xml:space="preserve">По КОСГУ 226 «Прочие работы  (услуги)» КВР 244 кассовый расход </w:t>
      </w:r>
      <w:r w:rsidR="00794311">
        <w:rPr>
          <w:rFonts w:ascii="Times New Roman" w:eastAsia="Times New Roman" w:hAnsi="Times New Roman"/>
          <w:color w:val="000000"/>
          <w:sz w:val="28"/>
          <w:szCs w:val="28"/>
          <w:lang w:eastAsia="zh-CN"/>
        </w:rPr>
        <w:t xml:space="preserve">по отчету </w:t>
      </w:r>
      <w:r w:rsidRPr="00F64399">
        <w:rPr>
          <w:rFonts w:ascii="Times New Roman" w:eastAsia="Times New Roman" w:hAnsi="Times New Roman"/>
          <w:color w:val="000000"/>
          <w:sz w:val="28"/>
          <w:szCs w:val="28"/>
          <w:lang w:eastAsia="zh-CN"/>
        </w:rPr>
        <w:t>составил 3 640,6 тыс. рублей. Контрольным мероприятием установлено, что кассовый расход в 2016 году по КОСГУ 226 составил 2 571,2 тыс. рублей. Расхождения с отчетными данными по КОСГУ 226 составляет 1 069,5 тыс. рублей.</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xml:space="preserve">По пояснениям специалистов МКУ МФЦ </w:t>
      </w:r>
      <w:proofErr w:type="gramStart"/>
      <w:r w:rsidRPr="00F64399">
        <w:rPr>
          <w:rFonts w:ascii="Times New Roman" w:eastAsia="Times New Roman" w:hAnsi="Times New Roman"/>
          <w:color w:val="000000"/>
          <w:sz w:val="28"/>
          <w:szCs w:val="28"/>
          <w:lang w:eastAsia="zh-CN"/>
        </w:rPr>
        <w:t>ОК</w:t>
      </w:r>
      <w:proofErr w:type="gramEnd"/>
      <w:r w:rsidRPr="00F64399">
        <w:rPr>
          <w:rFonts w:ascii="Times New Roman" w:eastAsia="Times New Roman" w:hAnsi="Times New Roman"/>
          <w:color w:val="000000"/>
          <w:sz w:val="28"/>
          <w:szCs w:val="28"/>
          <w:lang w:eastAsia="zh-CN"/>
        </w:rPr>
        <w:t xml:space="preserve"> УКМО  при ручной выборке расходов произошла ошибка отнесения расходов между КОСГУ 225 и 226.</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2.3. Расходы по подписке периодической печати 2017 года в сумме аванса 11,2 тыс. рублей списаны на расходы 2016 года, данная сумма должна быть отражена как дебиторская задолженность по состоянию на 01.01.2017, по отчетным данным дебиторская задолженность отсутствует.  Списываться дебиторская задолженность должна ежемесячно, по мере  получения подписных изданий  и акта выполненных работ (услуг) в 2017 году.</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lastRenderedPageBreak/>
        <w:t>2.4. В нарушение Бюджетной классификации Российской Федерации, утвержденной приказом Минфина России от 01.07.2013 № 65н:</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xml:space="preserve">-  расходы  по приобретению </w:t>
      </w:r>
      <w:proofErr w:type="spellStart"/>
      <w:r w:rsidRPr="00F64399">
        <w:rPr>
          <w:rFonts w:ascii="Times New Roman" w:eastAsia="Times New Roman" w:hAnsi="Times New Roman"/>
          <w:color w:val="000000"/>
          <w:sz w:val="28"/>
          <w:szCs w:val="28"/>
          <w:lang w:eastAsia="zh-CN"/>
        </w:rPr>
        <w:t>плиткореза</w:t>
      </w:r>
      <w:proofErr w:type="spellEnd"/>
      <w:r w:rsidRPr="00F64399">
        <w:rPr>
          <w:rFonts w:ascii="Times New Roman" w:eastAsia="Times New Roman" w:hAnsi="Times New Roman"/>
          <w:color w:val="000000"/>
          <w:sz w:val="28"/>
          <w:szCs w:val="28"/>
          <w:lang w:eastAsia="zh-CN"/>
        </w:rPr>
        <w:t xml:space="preserve"> в сумме 2,8 тыс. рублей, произведенные по КОСГУ 340, следовало отнести на расходы по КОСГУ 310;</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приобретение светильников – светодиодных панелей на общую сумму 9</w:t>
      </w:r>
      <w:r w:rsidR="00A42CAC">
        <w:rPr>
          <w:rFonts w:ascii="Times New Roman" w:eastAsia="Times New Roman" w:hAnsi="Times New Roman"/>
          <w:color w:val="000000"/>
          <w:sz w:val="28"/>
          <w:szCs w:val="28"/>
          <w:lang w:eastAsia="zh-CN"/>
        </w:rPr>
        <w:t>,9 тыс.</w:t>
      </w:r>
      <w:r w:rsidRPr="00F64399">
        <w:rPr>
          <w:rFonts w:ascii="Times New Roman" w:eastAsia="Times New Roman" w:hAnsi="Times New Roman"/>
          <w:color w:val="000000"/>
          <w:sz w:val="28"/>
          <w:szCs w:val="28"/>
          <w:lang w:eastAsia="zh-CN"/>
        </w:rPr>
        <w:t xml:space="preserve"> рублей проведено по КОСГУ 310, следовало отнести на расходы по КОСГУ 340. </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 xml:space="preserve">2.4. Учреждением, в нарушение требований </w:t>
      </w:r>
      <w:r w:rsidR="005F0A0F" w:rsidRPr="005F0A0F">
        <w:rPr>
          <w:rFonts w:ascii="Times New Roman" w:eastAsia="Times New Roman" w:hAnsi="Times New Roman"/>
          <w:sz w:val="28"/>
          <w:szCs w:val="28"/>
        </w:rPr>
        <w:t>Федерального закона от 06.12.2011 № 402-ФЗ «О бухгалтерском учете»</w:t>
      </w:r>
      <w:r w:rsidRPr="00F64399">
        <w:rPr>
          <w:rFonts w:ascii="Times New Roman" w:eastAsia="Times New Roman" w:hAnsi="Times New Roman"/>
          <w:color w:val="000000"/>
          <w:sz w:val="28"/>
          <w:szCs w:val="28"/>
          <w:lang w:eastAsia="zh-CN"/>
        </w:rPr>
        <w:t xml:space="preserve">,   принимаются к учету некорректно оформленные первичные документы, в ходе контрольного мероприятия установлено 4 случая на сумму 39,2 тыс. рублей. </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p>
    <w:p w:rsidR="00A42CAC" w:rsidRPr="00A42CAC" w:rsidRDefault="00A42CAC" w:rsidP="00A42CAC">
      <w:pPr>
        <w:widowControl w:val="0"/>
        <w:shd w:val="clear" w:color="auto" w:fill="FFFFFF"/>
        <w:suppressAutoHyphens/>
        <w:autoSpaceDE w:val="0"/>
        <w:spacing w:after="0" w:line="240" w:lineRule="auto"/>
        <w:ind w:firstLine="709"/>
        <w:jc w:val="both"/>
        <w:rPr>
          <w:lang w:eastAsia="zh-CN"/>
        </w:rPr>
      </w:pPr>
      <w:r w:rsidRPr="00A42CAC">
        <w:rPr>
          <w:rFonts w:ascii="Times New Roman" w:eastAsia="Times New Roman" w:hAnsi="Times New Roman"/>
          <w:sz w:val="28"/>
          <w:szCs w:val="28"/>
          <w:lang w:eastAsia="ru-RU"/>
        </w:rPr>
        <w:t>На основании результатов контрольного мероприятия КСК УКМО рекомендовано:</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1.</w:t>
      </w:r>
      <w:r w:rsidRPr="00F64399">
        <w:rPr>
          <w:rFonts w:ascii="Times New Roman" w:eastAsia="Times New Roman" w:hAnsi="Times New Roman"/>
          <w:color w:val="000000"/>
          <w:sz w:val="28"/>
          <w:szCs w:val="28"/>
          <w:lang w:eastAsia="zh-CN"/>
        </w:rPr>
        <w:tab/>
        <w:t>Проанализировать материалы отчета КСК УКМО и принять действенные меры по устранению нарушений и недостатков;</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2.</w:t>
      </w:r>
      <w:r w:rsidRPr="00F64399">
        <w:rPr>
          <w:rFonts w:ascii="Times New Roman" w:eastAsia="Times New Roman" w:hAnsi="Times New Roman"/>
          <w:color w:val="000000"/>
          <w:sz w:val="28"/>
          <w:szCs w:val="28"/>
          <w:lang w:eastAsia="zh-CN"/>
        </w:rPr>
        <w:tab/>
        <w:t>Обеспечить своевременный возврат неиспользованных подотчетных сумм в кассу учреждения;</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3.</w:t>
      </w:r>
      <w:r w:rsidRPr="00F64399">
        <w:rPr>
          <w:rFonts w:ascii="Times New Roman" w:eastAsia="Times New Roman" w:hAnsi="Times New Roman"/>
          <w:color w:val="000000"/>
          <w:sz w:val="28"/>
          <w:szCs w:val="28"/>
          <w:lang w:eastAsia="zh-CN"/>
        </w:rPr>
        <w:tab/>
        <w:t>Обеспечить неукоснительное исполнение ст. 241.1 Бюджетного кодекса Российской Федерации, все расчеты производить только через лицевой счет учреждения;</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4.</w:t>
      </w:r>
      <w:r w:rsidRPr="00F64399">
        <w:rPr>
          <w:rFonts w:ascii="Times New Roman" w:eastAsia="Times New Roman" w:hAnsi="Times New Roman"/>
          <w:color w:val="000000"/>
          <w:sz w:val="28"/>
          <w:szCs w:val="28"/>
          <w:lang w:eastAsia="zh-CN"/>
        </w:rPr>
        <w:tab/>
        <w:t xml:space="preserve">Обеспечить оформление и принятие к учету первичных документов в соответствии с требованиями </w:t>
      </w:r>
      <w:r w:rsidR="005F0A0F" w:rsidRPr="005F0A0F">
        <w:rPr>
          <w:rFonts w:ascii="Times New Roman" w:eastAsia="Times New Roman" w:hAnsi="Times New Roman"/>
          <w:sz w:val="28"/>
          <w:szCs w:val="28"/>
        </w:rPr>
        <w:t>Федерального закона от 06.12.2011 № 402-ФЗ «О бухгалтерском учете»</w:t>
      </w:r>
      <w:r w:rsidRPr="00F64399">
        <w:rPr>
          <w:rFonts w:ascii="Times New Roman" w:eastAsia="Times New Roman" w:hAnsi="Times New Roman"/>
          <w:color w:val="000000"/>
          <w:sz w:val="28"/>
          <w:szCs w:val="28"/>
          <w:lang w:eastAsia="zh-CN"/>
        </w:rPr>
        <w:t xml:space="preserve">;  </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5.</w:t>
      </w:r>
      <w:r w:rsidRPr="00F64399">
        <w:rPr>
          <w:rFonts w:ascii="Times New Roman" w:eastAsia="Times New Roman" w:hAnsi="Times New Roman"/>
          <w:color w:val="000000"/>
          <w:sz w:val="28"/>
          <w:szCs w:val="28"/>
          <w:lang w:eastAsia="zh-CN"/>
        </w:rPr>
        <w:tab/>
        <w:t>Обеспечить достоверное указание показателей в отчетных формах;</w:t>
      </w:r>
    </w:p>
    <w:p w:rsidR="00F64399" w:rsidRPr="00F64399" w:rsidRDefault="00F64399" w:rsidP="00F64399">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6.</w:t>
      </w:r>
      <w:r w:rsidRPr="00F64399">
        <w:rPr>
          <w:rFonts w:ascii="Times New Roman" w:eastAsia="Times New Roman" w:hAnsi="Times New Roman"/>
          <w:color w:val="000000"/>
          <w:sz w:val="28"/>
          <w:szCs w:val="28"/>
          <w:lang w:eastAsia="zh-CN"/>
        </w:rPr>
        <w:tab/>
        <w:t>Суммы расходов на приобретение подписных изданий  отражать в бюджетном учете по дебету  и списание дебиторской задолженности производить по мере поступления периодической печати;</w:t>
      </w:r>
    </w:p>
    <w:p w:rsidR="00257F49" w:rsidRPr="00A42CAC" w:rsidRDefault="00F64399" w:rsidP="00A42CAC">
      <w:pPr>
        <w:tabs>
          <w:tab w:val="left" w:pos="0"/>
        </w:tabs>
        <w:suppressAutoHyphens/>
        <w:spacing w:after="0" w:line="240" w:lineRule="auto"/>
        <w:ind w:firstLine="709"/>
        <w:jc w:val="both"/>
        <w:rPr>
          <w:rFonts w:ascii="Times New Roman" w:eastAsia="Times New Roman" w:hAnsi="Times New Roman"/>
          <w:color w:val="000000"/>
          <w:sz w:val="28"/>
          <w:szCs w:val="28"/>
          <w:lang w:eastAsia="zh-CN"/>
        </w:rPr>
      </w:pPr>
      <w:r w:rsidRPr="00F64399">
        <w:rPr>
          <w:rFonts w:ascii="Times New Roman" w:eastAsia="Times New Roman" w:hAnsi="Times New Roman"/>
          <w:color w:val="000000"/>
          <w:sz w:val="28"/>
          <w:szCs w:val="28"/>
          <w:lang w:eastAsia="zh-CN"/>
        </w:rPr>
        <w:t>7.</w:t>
      </w:r>
      <w:r w:rsidRPr="00F64399">
        <w:rPr>
          <w:rFonts w:ascii="Times New Roman" w:eastAsia="Times New Roman" w:hAnsi="Times New Roman"/>
          <w:color w:val="000000"/>
          <w:sz w:val="28"/>
          <w:szCs w:val="28"/>
          <w:lang w:eastAsia="zh-CN"/>
        </w:rPr>
        <w:tab/>
        <w:t>Обеспечить отражение расходов в соответствии с требованиями Бюджетной классификации Российской Федерации, утвержденной приказом Мин</w:t>
      </w:r>
      <w:r w:rsidR="00A42CAC">
        <w:rPr>
          <w:rFonts w:ascii="Times New Roman" w:eastAsia="Times New Roman" w:hAnsi="Times New Roman"/>
          <w:color w:val="000000"/>
          <w:sz w:val="28"/>
          <w:szCs w:val="28"/>
          <w:lang w:eastAsia="zh-CN"/>
        </w:rPr>
        <w:t>фина России от 01.07.2013 № 65н.</w:t>
      </w:r>
    </w:p>
    <w:sectPr w:rsidR="00257F49" w:rsidRPr="00A42CAC" w:rsidSect="006D33F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9"/>
    <w:lvl w:ilvl="0">
      <w:start w:val="1"/>
      <w:numFmt w:val="decimal"/>
      <w:lvlText w:val="%1."/>
      <w:lvlJc w:val="left"/>
      <w:pPr>
        <w:tabs>
          <w:tab w:val="num" w:pos="0"/>
        </w:tabs>
        <w:ind w:left="5924" w:hanging="1104"/>
      </w:pPr>
      <w:rPr>
        <w:rFonts w:ascii="Times New Roman" w:eastAsia="Times New Roman" w:hAnsi="Times New Roman" w:cs="Times New Roman"/>
        <w:sz w:val="28"/>
        <w:szCs w:val="28"/>
        <w:lang w:eastAsia="ru-RU"/>
      </w:rPr>
    </w:lvl>
    <w:lvl w:ilvl="1">
      <w:start w:val="1"/>
      <w:numFmt w:val="decimal"/>
      <w:lvlText w:val="%1.%2"/>
      <w:lvlJc w:val="left"/>
      <w:pPr>
        <w:tabs>
          <w:tab w:val="num" w:pos="0"/>
        </w:tabs>
        <w:ind w:left="1069" w:hanging="360"/>
      </w:pPr>
      <w:rPr>
        <w:rFonts w:eastAsia="Calibri" w:hint="default"/>
      </w:rPr>
    </w:lvl>
    <w:lvl w:ilvl="2">
      <w:start w:val="1"/>
      <w:numFmt w:val="decimal"/>
      <w:lvlText w:val="%1.%2.%3"/>
      <w:lvlJc w:val="left"/>
      <w:pPr>
        <w:tabs>
          <w:tab w:val="num" w:pos="0"/>
        </w:tabs>
        <w:ind w:left="1429" w:hanging="720"/>
      </w:pPr>
      <w:rPr>
        <w:rFonts w:eastAsia="Calibri" w:hint="default"/>
      </w:rPr>
    </w:lvl>
    <w:lvl w:ilvl="3">
      <w:start w:val="1"/>
      <w:numFmt w:val="decimal"/>
      <w:lvlText w:val="%1.%2.%3.%4"/>
      <w:lvlJc w:val="left"/>
      <w:pPr>
        <w:tabs>
          <w:tab w:val="num" w:pos="0"/>
        </w:tabs>
        <w:ind w:left="1789" w:hanging="1080"/>
      </w:pPr>
      <w:rPr>
        <w:rFonts w:eastAsia="Calibri" w:hint="default"/>
      </w:rPr>
    </w:lvl>
    <w:lvl w:ilvl="4">
      <w:start w:val="1"/>
      <w:numFmt w:val="decimal"/>
      <w:lvlText w:val="%1.%2.%3.%4.%5"/>
      <w:lvlJc w:val="left"/>
      <w:pPr>
        <w:tabs>
          <w:tab w:val="num" w:pos="0"/>
        </w:tabs>
        <w:ind w:left="1789" w:hanging="1080"/>
      </w:pPr>
      <w:rPr>
        <w:rFonts w:eastAsia="Calibri" w:hint="default"/>
      </w:rPr>
    </w:lvl>
    <w:lvl w:ilvl="5">
      <w:start w:val="1"/>
      <w:numFmt w:val="decimal"/>
      <w:lvlText w:val="%1.%2.%3.%4.%5.%6"/>
      <w:lvlJc w:val="left"/>
      <w:pPr>
        <w:tabs>
          <w:tab w:val="num" w:pos="0"/>
        </w:tabs>
        <w:ind w:left="2149" w:hanging="1440"/>
      </w:pPr>
      <w:rPr>
        <w:rFonts w:eastAsia="Calibri" w:hint="default"/>
      </w:rPr>
    </w:lvl>
    <w:lvl w:ilvl="6">
      <w:start w:val="1"/>
      <w:numFmt w:val="decimal"/>
      <w:lvlText w:val="%1.%2.%3.%4.%5.%6.%7"/>
      <w:lvlJc w:val="left"/>
      <w:pPr>
        <w:tabs>
          <w:tab w:val="num" w:pos="0"/>
        </w:tabs>
        <w:ind w:left="2149" w:hanging="1440"/>
      </w:pPr>
      <w:rPr>
        <w:rFonts w:eastAsia="Calibri" w:hint="default"/>
      </w:rPr>
    </w:lvl>
    <w:lvl w:ilvl="7">
      <w:start w:val="1"/>
      <w:numFmt w:val="decimal"/>
      <w:lvlText w:val="%1.%2.%3.%4.%5.%6.%7.%8"/>
      <w:lvlJc w:val="left"/>
      <w:pPr>
        <w:tabs>
          <w:tab w:val="num" w:pos="0"/>
        </w:tabs>
        <w:ind w:left="2509" w:hanging="1800"/>
      </w:pPr>
      <w:rPr>
        <w:rFonts w:eastAsia="Calibri" w:hint="default"/>
      </w:rPr>
    </w:lvl>
    <w:lvl w:ilvl="8">
      <w:start w:val="1"/>
      <w:numFmt w:val="decimal"/>
      <w:lvlText w:val="%1.%2.%3.%4.%5.%6.%7.%8.%9"/>
      <w:lvlJc w:val="left"/>
      <w:pPr>
        <w:tabs>
          <w:tab w:val="num" w:pos="0"/>
        </w:tabs>
        <w:ind w:left="2869" w:hanging="2160"/>
      </w:pPr>
      <w:rPr>
        <w:rFonts w:eastAsia="Calibri" w:hint="default"/>
      </w:rPr>
    </w:lvl>
  </w:abstractNum>
  <w:abstractNum w:abstractNumId="1">
    <w:nsid w:val="5DDA36E3"/>
    <w:multiLevelType w:val="hybridMultilevel"/>
    <w:tmpl w:val="A54823FE"/>
    <w:lvl w:ilvl="0" w:tplc="0F06B0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98D1706"/>
    <w:multiLevelType w:val="multilevel"/>
    <w:tmpl w:val="DFE87110"/>
    <w:lvl w:ilvl="0">
      <w:start w:val="1"/>
      <w:numFmt w:val="decimal"/>
      <w:lvlText w:val="%1."/>
      <w:lvlJc w:val="left"/>
      <w:pPr>
        <w:ind w:left="5924" w:hanging="1104"/>
      </w:pPr>
      <w:rPr>
        <w:rFonts w:ascii="Times New Roman" w:eastAsia="Times New Roman" w:hAnsi="Times New Roman" w:cs="Times New Roman"/>
      </w:rPr>
    </w:lvl>
    <w:lvl w:ilvl="1">
      <w:start w:val="1"/>
      <w:numFmt w:val="decimal"/>
      <w:isLgl/>
      <w:lvlText w:val="%1.%2"/>
      <w:lvlJc w:val="left"/>
      <w:pPr>
        <w:ind w:left="1069" w:hanging="360"/>
      </w:pPr>
      <w:rPr>
        <w:rFonts w:eastAsia="Calibri" w:hint="default"/>
      </w:rPr>
    </w:lvl>
    <w:lvl w:ilvl="2">
      <w:start w:val="1"/>
      <w:numFmt w:val="decimal"/>
      <w:isLgl/>
      <w:lvlText w:val="%1.%2.%3"/>
      <w:lvlJc w:val="left"/>
      <w:pPr>
        <w:ind w:left="1429" w:hanging="720"/>
      </w:pPr>
      <w:rPr>
        <w:rFonts w:eastAsia="Calibri" w:hint="default"/>
      </w:rPr>
    </w:lvl>
    <w:lvl w:ilvl="3">
      <w:start w:val="1"/>
      <w:numFmt w:val="decimal"/>
      <w:isLgl/>
      <w:lvlText w:val="%1.%2.%3.%4"/>
      <w:lvlJc w:val="left"/>
      <w:pPr>
        <w:ind w:left="1789" w:hanging="1080"/>
      </w:pPr>
      <w:rPr>
        <w:rFonts w:eastAsia="Calibri" w:hint="default"/>
      </w:rPr>
    </w:lvl>
    <w:lvl w:ilvl="4">
      <w:start w:val="1"/>
      <w:numFmt w:val="decimal"/>
      <w:isLgl/>
      <w:lvlText w:val="%1.%2.%3.%4.%5"/>
      <w:lvlJc w:val="left"/>
      <w:pPr>
        <w:ind w:left="1789" w:hanging="1080"/>
      </w:pPr>
      <w:rPr>
        <w:rFonts w:eastAsia="Calibri" w:hint="default"/>
      </w:rPr>
    </w:lvl>
    <w:lvl w:ilvl="5">
      <w:start w:val="1"/>
      <w:numFmt w:val="decimal"/>
      <w:isLgl/>
      <w:lvlText w:val="%1.%2.%3.%4.%5.%6"/>
      <w:lvlJc w:val="left"/>
      <w:pPr>
        <w:ind w:left="2149" w:hanging="1440"/>
      </w:pPr>
      <w:rPr>
        <w:rFonts w:eastAsia="Calibri" w:hint="default"/>
      </w:rPr>
    </w:lvl>
    <w:lvl w:ilvl="6">
      <w:start w:val="1"/>
      <w:numFmt w:val="decimal"/>
      <w:isLgl/>
      <w:lvlText w:val="%1.%2.%3.%4.%5.%6.%7"/>
      <w:lvlJc w:val="left"/>
      <w:pPr>
        <w:ind w:left="2149" w:hanging="1440"/>
      </w:pPr>
      <w:rPr>
        <w:rFonts w:eastAsia="Calibri" w:hint="default"/>
      </w:rPr>
    </w:lvl>
    <w:lvl w:ilvl="7">
      <w:start w:val="1"/>
      <w:numFmt w:val="decimal"/>
      <w:isLgl/>
      <w:lvlText w:val="%1.%2.%3.%4.%5.%6.%7.%8"/>
      <w:lvlJc w:val="left"/>
      <w:pPr>
        <w:ind w:left="2509" w:hanging="1800"/>
      </w:pPr>
      <w:rPr>
        <w:rFonts w:eastAsia="Calibri" w:hint="default"/>
      </w:rPr>
    </w:lvl>
    <w:lvl w:ilvl="8">
      <w:start w:val="1"/>
      <w:numFmt w:val="decimal"/>
      <w:isLgl/>
      <w:lvlText w:val="%1.%2.%3.%4.%5.%6.%7.%8.%9"/>
      <w:lvlJc w:val="left"/>
      <w:pPr>
        <w:ind w:left="2869" w:hanging="2160"/>
      </w:pPr>
      <w:rPr>
        <w:rFonts w:eastAsia="Calibri"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30"/>
    <w:rsid w:val="00026DED"/>
    <w:rsid w:val="00030415"/>
    <w:rsid w:val="0004558F"/>
    <w:rsid w:val="00045E0B"/>
    <w:rsid w:val="00062343"/>
    <w:rsid w:val="0006248D"/>
    <w:rsid w:val="00090B79"/>
    <w:rsid w:val="000D5BD8"/>
    <w:rsid w:val="000F071C"/>
    <w:rsid w:val="000F462F"/>
    <w:rsid w:val="001015AA"/>
    <w:rsid w:val="00107A2B"/>
    <w:rsid w:val="00121B36"/>
    <w:rsid w:val="001A2BF4"/>
    <w:rsid w:val="00233E29"/>
    <w:rsid w:val="0023608A"/>
    <w:rsid w:val="00257F49"/>
    <w:rsid w:val="002B1119"/>
    <w:rsid w:val="002E1171"/>
    <w:rsid w:val="002F2723"/>
    <w:rsid w:val="002F3417"/>
    <w:rsid w:val="0035552B"/>
    <w:rsid w:val="003635F4"/>
    <w:rsid w:val="0037304D"/>
    <w:rsid w:val="00390845"/>
    <w:rsid w:val="003966D6"/>
    <w:rsid w:val="003C3C09"/>
    <w:rsid w:val="003E4CEE"/>
    <w:rsid w:val="004073DA"/>
    <w:rsid w:val="00411B1A"/>
    <w:rsid w:val="00457B41"/>
    <w:rsid w:val="00464342"/>
    <w:rsid w:val="004B12DD"/>
    <w:rsid w:val="004E7727"/>
    <w:rsid w:val="00511D34"/>
    <w:rsid w:val="00546C92"/>
    <w:rsid w:val="00567A81"/>
    <w:rsid w:val="0057779F"/>
    <w:rsid w:val="0058757E"/>
    <w:rsid w:val="005C1C81"/>
    <w:rsid w:val="005D6E30"/>
    <w:rsid w:val="005E407C"/>
    <w:rsid w:val="005F0A0F"/>
    <w:rsid w:val="005F1E29"/>
    <w:rsid w:val="006143B9"/>
    <w:rsid w:val="0061772D"/>
    <w:rsid w:val="0063625D"/>
    <w:rsid w:val="00654842"/>
    <w:rsid w:val="006B7A61"/>
    <w:rsid w:val="006C31FF"/>
    <w:rsid w:val="006D29EE"/>
    <w:rsid w:val="006D33F6"/>
    <w:rsid w:val="006E1F08"/>
    <w:rsid w:val="006E2790"/>
    <w:rsid w:val="007043E7"/>
    <w:rsid w:val="0071371A"/>
    <w:rsid w:val="00733344"/>
    <w:rsid w:val="00735B88"/>
    <w:rsid w:val="007478B1"/>
    <w:rsid w:val="00752E60"/>
    <w:rsid w:val="00771DC3"/>
    <w:rsid w:val="00794311"/>
    <w:rsid w:val="007C246E"/>
    <w:rsid w:val="007C7EC6"/>
    <w:rsid w:val="007D5F1E"/>
    <w:rsid w:val="007E621E"/>
    <w:rsid w:val="007F07FD"/>
    <w:rsid w:val="007F6744"/>
    <w:rsid w:val="00891F34"/>
    <w:rsid w:val="008B13D2"/>
    <w:rsid w:val="008C7C82"/>
    <w:rsid w:val="00934EAA"/>
    <w:rsid w:val="00943956"/>
    <w:rsid w:val="00961723"/>
    <w:rsid w:val="009778CB"/>
    <w:rsid w:val="00985AC3"/>
    <w:rsid w:val="00986496"/>
    <w:rsid w:val="009A3D52"/>
    <w:rsid w:val="009C6F12"/>
    <w:rsid w:val="009D4958"/>
    <w:rsid w:val="009D4FD5"/>
    <w:rsid w:val="00A42CAC"/>
    <w:rsid w:val="00A51C22"/>
    <w:rsid w:val="00A90CFB"/>
    <w:rsid w:val="00AA2D1A"/>
    <w:rsid w:val="00AD54CC"/>
    <w:rsid w:val="00AE225C"/>
    <w:rsid w:val="00B0703A"/>
    <w:rsid w:val="00B268FC"/>
    <w:rsid w:val="00B40598"/>
    <w:rsid w:val="00B56A5C"/>
    <w:rsid w:val="00B8134A"/>
    <w:rsid w:val="00BB7363"/>
    <w:rsid w:val="00BC1216"/>
    <w:rsid w:val="00BC377D"/>
    <w:rsid w:val="00BF0274"/>
    <w:rsid w:val="00C02E54"/>
    <w:rsid w:val="00C12F2E"/>
    <w:rsid w:val="00C25A67"/>
    <w:rsid w:val="00C650B4"/>
    <w:rsid w:val="00C666CF"/>
    <w:rsid w:val="00C722FD"/>
    <w:rsid w:val="00C91E84"/>
    <w:rsid w:val="00CE0C4D"/>
    <w:rsid w:val="00D359C3"/>
    <w:rsid w:val="00D9480B"/>
    <w:rsid w:val="00DF493E"/>
    <w:rsid w:val="00E9517B"/>
    <w:rsid w:val="00E95252"/>
    <w:rsid w:val="00EA0249"/>
    <w:rsid w:val="00EA5FF8"/>
    <w:rsid w:val="00EB001C"/>
    <w:rsid w:val="00EB2803"/>
    <w:rsid w:val="00EB71AF"/>
    <w:rsid w:val="00F1422D"/>
    <w:rsid w:val="00F15A3F"/>
    <w:rsid w:val="00F64399"/>
    <w:rsid w:val="00F9082D"/>
    <w:rsid w:val="00FC2B74"/>
    <w:rsid w:val="00FC5FC8"/>
    <w:rsid w:val="00FD0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Слесарева</dc:creator>
  <cp:lastModifiedBy>Е.В.. Слесарева</cp:lastModifiedBy>
  <cp:revision>6</cp:revision>
  <dcterms:created xsi:type="dcterms:W3CDTF">2018-12-18T09:05:00Z</dcterms:created>
  <dcterms:modified xsi:type="dcterms:W3CDTF">2018-12-19T01:48:00Z</dcterms:modified>
</cp:coreProperties>
</file>